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36"/>
        </w:rPr>
      </w:pPr>
      <w:r>
        <w:rPr>
          <w:rFonts w:ascii="Times New Roman"/>
          <w:sz w:val="36"/>
        </w:rPr>
        <mc:AlternateContent>
          <mc:Choice Requires="wps">
            <w:drawing>
              <wp:anchor distT="0" distB="0" distL="0" distR="0" allowOverlap="1" layoutInCell="1" locked="0" behindDoc="1" simplePos="0" relativeHeight="486284288">
                <wp:simplePos x="0" y="0"/>
                <wp:positionH relativeFrom="page">
                  <wp:posOffset>923289</wp:posOffset>
                </wp:positionH>
                <wp:positionV relativeFrom="page">
                  <wp:posOffset>713105</wp:posOffset>
                </wp:positionV>
                <wp:extent cx="7197090" cy="968692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197090" cy="9686925"/>
                          <a:chExt cx="7197090" cy="9686925"/>
                        </a:xfrm>
                      </wpg:grpSpPr>
                      <pic:pic>
                        <pic:nvPicPr>
                          <pic:cNvPr id="3" name="Image 3"/>
                          <pic:cNvPicPr/>
                        </pic:nvPicPr>
                        <pic:blipFill>
                          <a:blip r:embed="rId6" cstate="print"/>
                          <a:stretch>
                            <a:fillRect/>
                          </a:stretch>
                        </pic:blipFill>
                        <pic:spPr>
                          <a:xfrm>
                            <a:off x="0" y="0"/>
                            <a:ext cx="3438525" cy="9686925"/>
                          </a:xfrm>
                          <a:prstGeom prst="rect">
                            <a:avLst/>
                          </a:prstGeom>
                        </pic:spPr>
                      </pic:pic>
                      <pic:pic>
                        <pic:nvPicPr>
                          <pic:cNvPr id="4" name="Image 4"/>
                          <pic:cNvPicPr/>
                        </pic:nvPicPr>
                        <pic:blipFill>
                          <a:blip r:embed="rId7" cstate="print"/>
                          <a:stretch>
                            <a:fillRect/>
                          </a:stretch>
                        </pic:blipFill>
                        <pic:spPr>
                          <a:xfrm>
                            <a:off x="3439795" y="4067809"/>
                            <a:ext cx="3756901" cy="115570"/>
                          </a:xfrm>
                          <a:prstGeom prst="rect">
                            <a:avLst/>
                          </a:prstGeom>
                        </pic:spPr>
                      </pic:pic>
                    </wpg:wgp>
                  </a:graphicData>
                </a:graphic>
              </wp:anchor>
            </w:drawing>
          </mc:Choice>
          <mc:Fallback>
            <w:pict>
              <v:group style="position:absolute;margin-left:72.699997pt;margin-top:56.150002pt;width:566.7pt;height:762.75pt;mso-position-horizontal-relative:page;mso-position-vertical-relative:page;z-index:-17032192" id="docshapegroup2" coordorigin="1454,1123" coordsize="11334,15255">
                <v:shape style="position:absolute;left:1454;top:1123;width:5415;height:15255" type="#_x0000_t75" id="docshape3" stroked="false">
                  <v:imagedata r:id="rId6" o:title=""/>
                </v:shape>
                <v:shape style="position:absolute;left:6871;top:7529;width:5917;height:182" type="#_x0000_t75" id="docshape4" stroked="false">
                  <v:imagedata r:id="rId7" o:title=""/>
                </v:shape>
                <w10:wrap type="none"/>
              </v:group>
            </w:pict>
          </mc:Fallback>
        </mc:AlternateContent>
      </w: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rPr>
          <w:rFonts w:ascii="Times New Roman"/>
          <w:sz w:val="36"/>
        </w:rPr>
      </w:pPr>
    </w:p>
    <w:p>
      <w:pPr>
        <w:pStyle w:val="BodyText"/>
        <w:spacing w:before="91"/>
        <w:rPr>
          <w:rFonts w:ascii="Times New Roman"/>
          <w:sz w:val="36"/>
        </w:rPr>
      </w:pPr>
    </w:p>
    <w:p>
      <w:pPr>
        <w:spacing w:before="0"/>
        <w:ind w:left="5715" w:right="0" w:firstLine="0"/>
        <w:jc w:val="left"/>
        <w:rPr>
          <w:b/>
          <w:sz w:val="36"/>
        </w:rPr>
      </w:pPr>
      <w:r>
        <w:rPr>
          <w:b/>
          <w:sz w:val="36"/>
        </w:rPr>
        <w:t>INFORME DE</w:t>
      </w:r>
      <w:r>
        <w:rPr>
          <w:b/>
          <w:spacing w:val="-2"/>
          <w:sz w:val="36"/>
        </w:rPr>
        <w:t> SEGUIMIENTO</w:t>
      </w:r>
    </w:p>
    <w:p>
      <w:pPr>
        <w:pStyle w:val="Title"/>
      </w:pPr>
      <w:r>
        <w:rPr/>
        <w:t>PEI</w:t>
      </w:r>
      <w:r>
        <w:rPr>
          <w:spacing w:val="-10"/>
        </w:rPr>
        <w:t> </w:t>
      </w:r>
      <w:r>
        <w:rPr/>
        <w:t>2023</w:t>
      </w:r>
      <w:r>
        <w:rPr>
          <w:spacing w:val="-5"/>
        </w:rPr>
        <w:t> </w:t>
      </w:r>
      <w:r>
        <w:rPr/>
        <w:t>-</w:t>
      </w:r>
      <w:r>
        <w:rPr>
          <w:spacing w:val="-8"/>
        </w:rPr>
        <w:t> </w:t>
      </w:r>
      <w:r>
        <w:rPr>
          <w:spacing w:val="-4"/>
        </w:rPr>
        <w:t>2028</w:t>
      </w:r>
    </w:p>
    <w:p>
      <w:pPr>
        <w:pStyle w:val="BodyText"/>
        <w:rPr>
          <w:b/>
          <w:sz w:val="36"/>
        </w:rPr>
      </w:pPr>
    </w:p>
    <w:p>
      <w:pPr>
        <w:pStyle w:val="BodyText"/>
        <w:rPr>
          <w:b/>
          <w:sz w:val="36"/>
        </w:rPr>
      </w:pPr>
    </w:p>
    <w:p>
      <w:pPr>
        <w:pStyle w:val="BodyText"/>
        <w:spacing w:before="291"/>
        <w:rPr>
          <w:b/>
          <w:sz w:val="36"/>
        </w:rPr>
      </w:pPr>
    </w:p>
    <w:p>
      <w:pPr>
        <w:spacing w:before="0"/>
        <w:ind w:left="6022" w:right="0" w:firstLine="0"/>
        <w:jc w:val="left"/>
        <w:rPr>
          <w:b/>
          <w:sz w:val="36"/>
        </w:rPr>
      </w:pPr>
      <w:r>
        <w:rPr>
          <w:b/>
          <w:sz w:val="36"/>
        </w:rPr>
        <w:t>PRIMER</w:t>
      </w:r>
      <w:r>
        <w:rPr>
          <w:b/>
          <w:spacing w:val="-2"/>
          <w:sz w:val="36"/>
        </w:rPr>
        <w:t> </w:t>
      </w:r>
      <w:r>
        <w:rPr>
          <w:b/>
          <w:sz w:val="36"/>
        </w:rPr>
        <w:t>SEMESTRE</w:t>
      </w:r>
      <w:r>
        <w:rPr>
          <w:b/>
          <w:spacing w:val="-1"/>
          <w:sz w:val="36"/>
        </w:rPr>
        <w:t> </w:t>
      </w:r>
      <w:r>
        <w:rPr>
          <w:b/>
          <w:spacing w:val="-4"/>
          <w:sz w:val="36"/>
        </w:rPr>
        <w:t>2024</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278"/>
        <w:rPr>
          <w:b/>
          <w:sz w:val="36"/>
        </w:rPr>
      </w:pPr>
    </w:p>
    <w:p>
      <w:pPr>
        <w:pStyle w:val="Heading3"/>
      </w:pPr>
      <w:r>
        <w:rPr/>
        <w:t>UNIDAD</w:t>
      </w:r>
      <w:r>
        <w:rPr>
          <w:spacing w:val="-5"/>
        </w:rPr>
        <w:t> </w:t>
      </w:r>
      <w:r>
        <w:rPr/>
        <w:t>DE</w:t>
      </w:r>
      <w:r>
        <w:rPr>
          <w:spacing w:val="-5"/>
        </w:rPr>
        <w:t> </w:t>
      </w:r>
      <w:r>
        <w:rPr>
          <w:spacing w:val="-2"/>
        </w:rPr>
        <w:t>PLANIFICACIÓN</w:t>
      </w:r>
    </w:p>
    <w:p>
      <w:pPr>
        <w:pStyle w:val="Heading3"/>
        <w:spacing w:after="0"/>
        <w:sectPr>
          <w:footerReference w:type="default" r:id="rId5"/>
          <w:type w:val="continuous"/>
          <w:pgSz w:w="13370" w:h="17280"/>
          <w:pgMar w:header="0" w:footer="969" w:top="1120" w:bottom="1160" w:left="1275" w:right="992"/>
          <w:pgNumType w:start="1"/>
        </w:sectPr>
      </w:pPr>
    </w:p>
    <w:p>
      <w:pPr>
        <w:spacing w:before="77"/>
        <w:ind w:left="200" w:right="437" w:firstLine="0"/>
        <w:jc w:val="center"/>
        <w:rPr>
          <w:b/>
          <w:sz w:val="22"/>
        </w:rPr>
      </w:pPr>
      <w:r>
        <w:rPr>
          <w:b/>
          <w:spacing w:val="-2"/>
          <w:sz w:val="22"/>
        </w:rPr>
        <w:t>INDICE</w:t>
      </w:r>
    </w:p>
    <w:sdt>
      <w:sdtPr>
        <w:docPartObj>
          <w:docPartGallery w:val="Table of Contents"/>
          <w:docPartUnique/>
        </w:docPartObj>
      </w:sdtPr>
      <w:sdtEndPr/>
      <w:sdtContent>
        <w:p>
          <w:pPr>
            <w:pStyle w:val="TOC2"/>
            <w:numPr>
              <w:ilvl w:val="0"/>
              <w:numId w:val="1"/>
            </w:numPr>
            <w:tabs>
              <w:tab w:pos="884" w:val="left" w:leader="none"/>
              <w:tab w:pos="8877" w:val="right" w:leader="dot"/>
            </w:tabs>
            <w:spacing w:line="240" w:lineRule="auto" w:before="851" w:after="0"/>
            <w:ind w:left="884" w:right="0" w:hanging="359"/>
            <w:jc w:val="left"/>
          </w:pPr>
          <w:hyperlink w:history="true" w:anchor="_TOC_250004">
            <w:r>
              <w:rPr/>
              <w:t>Resumen</w:t>
            </w:r>
            <w:r>
              <w:rPr>
                <w:spacing w:val="-3"/>
              </w:rPr>
              <w:t> </w:t>
            </w:r>
            <w:r>
              <w:rPr>
                <w:spacing w:val="-2"/>
              </w:rPr>
              <w:t>Ejecutivo</w:t>
            </w:r>
            <w:r>
              <w:rPr/>
              <w:tab/>
            </w:r>
            <w:r>
              <w:rPr>
                <w:spacing w:val="-10"/>
              </w:rPr>
              <w:t>3</w:t>
            </w:r>
          </w:hyperlink>
        </w:p>
        <w:p>
          <w:pPr>
            <w:pStyle w:val="TOC1"/>
            <w:numPr>
              <w:ilvl w:val="0"/>
              <w:numId w:val="1"/>
            </w:numPr>
            <w:tabs>
              <w:tab w:pos="884" w:val="left" w:leader="none"/>
              <w:tab w:pos="8891" w:val="right" w:leader="dot"/>
            </w:tabs>
            <w:spacing w:line="240" w:lineRule="auto" w:before="137" w:after="0"/>
            <w:ind w:left="884" w:right="0" w:hanging="359"/>
            <w:jc w:val="left"/>
          </w:pPr>
          <w:hyperlink w:history="true" w:anchor="_TOC_250003">
            <w:r>
              <w:rPr>
                <w:spacing w:val="-2"/>
              </w:rPr>
              <w:t>Introducción</w:t>
            </w:r>
            <w:r>
              <w:rPr/>
              <w:tab/>
            </w:r>
            <w:r>
              <w:rPr>
                <w:spacing w:val="-10"/>
              </w:rPr>
              <w:t>4</w:t>
            </w:r>
          </w:hyperlink>
        </w:p>
        <w:p>
          <w:pPr>
            <w:pStyle w:val="TOC2"/>
            <w:numPr>
              <w:ilvl w:val="0"/>
              <w:numId w:val="1"/>
            </w:numPr>
            <w:tabs>
              <w:tab w:pos="884" w:val="left" w:leader="none"/>
              <w:tab w:pos="8893" w:val="right" w:leader="dot"/>
            </w:tabs>
            <w:spacing w:line="240" w:lineRule="auto" w:before="139" w:after="0"/>
            <w:ind w:left="884" w:right="0" w:hanging="359"/>
            <w:jc w:val="left"/>
          </w:pPr>
          <w:r>
            <w:rPr>
              <w:spacing w:val="-2"/>
            </w:rPr>
            <w:t>Metodología</w:t>
          </w:r>
          <w:r>
            <w:rPr/>
            <w:tab/>
          </w:r>
          <w:r>
            <w:rPr>
              <w:spacing w:val="-10"/>
            </w:rPr>
            <w:t>5</w:t>
          </w:r>
        </w:p>
        <w:p>
          <w:pPr>
            <w:pStyle w:val="TOC1"/>
            <w:numPr>
              <w:ilvl w:val="0"/>
              <w:numId w:val="1"/>
            </w:numPr>
            <w:tabs>
              <w:tab w:pos="884" w:val="left" w:leader="none"/>
              <w:tab w:pos="8906" w:val="right" w:leader="dot"/>
            </w:tabs>
            <w:spacing w:line="240" w:lineRule="auto" w:before="137" w:after="0"/>
            <w:ind w:left="884" w:right="0" w:hanging="359"/>
            <w:jc w:val="left"/>
          </w:pPr>
          <w:hyperlink w:history="true" w:anchor="_TOC_250002">
            <w:r>
              <w:rPr/>
              <w:t>Presentación</w:t>
            </w:r>
            <w:r>
              <w:rPr>
                <w:spacing w:val="-2"/>
              </w:rPr>
              <w:t> </w:t>
            </w:r>
            <w:r>
              <w:rPr/>
              <w:t>de</w:t>
            </w:r>
            <w:r>
              <w:rPr>
                <w:spacing w:val="-2"/>
              </w:rPr>
              <w:t> </w:t>
            </w:r>
            <w:r>
              <w:rPr/>
              <w:t>datos</w:t>
            </w:r>
            <w:r>
              <w:rPr>
                <w:spacing w:val="-3"/>
              </w:rPr>
              <w:t> </w:t>
            </w:r>
            <w:r>
              <w:rPr/>
              <w:t>y</w:t>
            </w:r>
            <w:r>
              <w:rPr>
                <w:spacing w:val="-1"/>
              </w:rPr>
              <w:t> </w:t>
            </w:r>
            <w:r>
              <w:rPr>
                <w:spacing w:val="-2"/>
              </w:rPr>
              <w:t>análisis</w:t>
            </w:r>
            <w:r>
              <w:rPr/>
              <w:tab/>
            </w:r>
            <w:r>
              <w:rPr>
                <w:spacing w:val="-10"/>
              </w:rPr>
              <w:t>6</w:t>
            </w:r>
          </w:hyperlink>
        </w:p>
        <w:p>
          <w:pPr>
            <w:pStyle w:val="TOC1"/>
            <w:numPr>
              <w:ilvl w:val="0"/>
              <w:numId w:val="1"/>
            </w:numPr>
            <w:tabs>
              <w:tab w:pos="884" w:val="left" w:leader="none"/>
              <w:tab w:pos="9024" w:val="right" w:leader="dot"/>
            </w:tabs>
            <w:spacing w:line="240" w:lineRule="auto" w:before="139" w:after="0"/>
            <w:ind w:left="884" w:right="0" w:hanging="359"/>
            <w:jc w:val="left"/>
          </w:pPr>
          <w:hyperlink w:history="true" w:anchor="_TOC_250001">
            <w:r>
              <w:rPr/>
              <w:t>Análisis</w:t>
            </w:r>
            <w:r>
              <w:rPr>
                <w:spacing w:val="-2"/>
              </w:rPr>
              <w:t> </w:t>
            </w:r>
            <w:r>
              <w:rPr/>
              <w:t>del</w:t>
            </w:r>
            <w:r>
              <w:rPr>
                <w:spacing w:val="-1"/>
              </w:rPr>
              <w:t> </w:t>
            </w:r>
            <w:r>
              <w:rPr/>
              <w:t>avance</w:t>
            </w:r>
            <w:r>
              <w:rPr>
                <w:spacing w:val="-1"/>
              </w:rPr>
              <w:t> </w:t>
            </w:r>
            <w:r>
              <w:rPr/>
              <w:t>al</w:t>
            </w:r>
            <w:r>
              <w:rPr>
                <w:spacing w:val="1"/>
              </w:rPr>
              <w:t> </w:t>
            </w:r>
            <w:r>
              <w:rPr/>
              <w:t>I</w:t>
            </w:r>
            <w:r>
              <w:rPr>
                <w:spacing w:val="-4"/>
              </w:rPr>
              <w:t> </w:t>
            </w:r>
            <w:r>
              <w:rPr/>
              <w:t>semestre-</w:t>
            </w:r>
            <w:r>
              <w:rPr>
                <w:spacing w:val="-2"/>
              </w:rPr>
              <w:t> </w:t>
            </w:r>
            <w:r>
              <w:rPr/>
              <w:t>PEI</w:t>
            </w:r>
            <w:r>
              <w:rPr>
                <w:spacing w:val="-5"/>
              </w:rPr>
              <w:t> </w:t>
            </w:r>
            <w:r>
              <w:rPr/>
              <w:t>2023-2028,</w:t>
            </w:r>
            <w:r>
              <w:rPr>
                <w:spacing w:val="2"/>
              </w:rPr>
              <w:t> </w:t>
            </w:r>
            <w:r>
              <w:rPr/>
              <w:t>según</w:t>
            </w:r>
            <w:r>
              <w:rPr>
                <w:spacing w:val="-1"/>
              </w:rPr>
              <w:t> </w:t>
            </w:r>
            <w:r>
              <w:rPr/>
              <w:t>Eje </w:t>
            </w:r>
            <w:r>
              <w:rPr>
                <w:spacing w:val="-2"/>
              </w:rPr>
              <w:t>Estratégico</w:t>
            </w:r>
            <w:r>
              <w:rPr/>
              <w:tab/>
            </w:r>
            <w:r>
              <w:rPr>
                <w:spacing w:val="-5"/>
              </w:rPr>
              <w:t>18</w:t>
            </w:r>
          </w:hyperlink>
        </w:p>
        <w:p>
          <w:pPr>
            <w:pStyle w:val="TOC1"/>
            <w:numPr>
              <w:ilvl w:val="0"/>
              <w:numId w:val="1"/>
            </w:numPr>
            <w:tabs>
              <w:tab w:pos="884" w:val="left" w:leader="none"/>
              <w:tab w:pos="9004" w:val="right" w:leader="dot"/>
            </w:tabs>
            <w:spacing w:line="240" w:lineRule="auto" w:before="137" w:after="0"/>
            <w:ind w:left="884" w:right="0" w:hanging="359"/>
            <w:jc w:val="left"/>
          </w:pPr>
          <w:hyperlink w:history="true" w:anchor="_TOC_250000">
            <w:r>
              <w:rPr/>
              <w:t>Conclusiones</w:t>
            </w:r>
            <w:r>
              <w:rPr>
                <w:spacing w:val="-2"/>
              </w:rPr>
              <w:t> </w:t>
            </w:r>
            <w:r>
              <w:rPr/>
              <w:t>y </w:t>
            </w:r>
            <w:r>
              <w:rPr>
                <w:spacing w:val="-2"/>
              </w:rPr>
              <w:t>recomendaciones</w:t>
            </w:r>
            <w:r>
              <w:rPr/>
              <w:tab/>
            </w:r>
            <w:r>
              <w:rPr>
                <w:spacing w:val="-5"/>
              </w:rPr>
              <w:t>30</w:t>
            </w:r>
          </w:hyperlink>
        </w:p>
      </w:sdtContent>
    </w:sdt>
    <w:p>
      <w:pPr>
        <w:pStyle w:val="TOC1"/>
        <w:spacing w:after="0" w:line="240" w:lineRule="auto"/>
        <w:jc w:val="left"/>
        <w:sectPr>
          <w:pgSz w:w="13370" w:h="17280"/>
          <w:pgMar w:header="0" w:footer="969" w:top="340" w:bottom="1160" w:left="1275" w:right="992"/>
        </w:sectPr>
      </w:pPr>
    </w:p>
    <w:p>
      <w:pPr>
        <w:pStyle w:val="Heading2"/>
        <w:numPr>
          <w:ilvl w:val="0"/>
          <w:numId w:val="2"/>
        </w:numPr>
        <w:tabs>
          <w:tab w:pos="838" w:val="left" w:leader="none"/>
        </w:tabs>
        <w:spacing w:line="240" w:lineRule="auto" w:before="60" w:after="0"/>
        <w:ind w:left="838" w:right="0" w:hanging="299"/>
        <w:jc w:val="left"/>
        <w:rPr>
          <w:sz w:val="34"/>
        </w:rPr>
      </w:pPr>
      <w:bookmarkStart w:name="_TOC_250004" w:id="1"/>
      <w:r>
        <w:rPr/>
        <w:t>RESUMEN</w:t>
      </w:r>
      <w:r>
        <w:rPr>
          <w:spacing w:val="-7"/>
        </w:rPr>
        <w:t> </w:t>
      </w:r>
      <w:bookmarkEnd w:id="1"/>
      <w:r>
        <w:rPr>
          <w:spacing w:val="-2"/>
        </w:rPr>
        <w:t>EJECUTIVO.</w:t>
      </w:r>
    </w:p>
    <w:p>
      <w:pPr>
        <w:pStyle w:val="BodyText"/>
        <w:spacing w:before="16"/>
        <w:rPr>
          <w:b/>
          <w:sz w:val="20"/>
        </w:rPr>
      </w:pPr>
      <w:r>
        <w:rPr>
          <w:b/>
          <w:sz w:val="20"/>
        </w:rPr>
        <w:drawing>
          <wp:anchor distT="0" distB="0" distL="0" distR="0" allowOverlap="1" layoutInCell="1" locked="0" behindDoc="1" simplePos="0" relativeHeight="487588352">
            <wp:simplePos x="0" y="0"/>
            <wp:positionH relativeFrom="page">
              <wp:posOffset>914400</wp:posOffset>
            </wp:positionH>
            <wp:positionV relativeFrom="paragraph">
              <wp:posOffset>171472</wp:posOffset>
            </wp:positionV>
            <wp:extent cx="3646042" cy="111918"/>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3646042" cy="111918"/>
                    </a:xfrm>
                    <a:prstGeom prst="rect">
                      <a:avLst/>
                    </a:prstGeom>
                  </pic:spPr>
                </pic:pic>
              </a:graphicData>
            </a:graphic>
          </wp:anchor>
        </w:drawing>
      </w:r>
    </w:p>
    <w:p>
      <w:pPr>
        <w:pStyle w:val="BodyText"/>
        <w:spacing w:before="202"/>
        <w:rPr>
          <w:b/>
          <w:sz w:val="36"/>
        </w:rPr>
      </w:pPr>
    </w:p>
    <w:p>
      <w:pPr>
        <w:pStyle w:val="BodyText"/>
        <w:ind w:left="299" w:right="92"/>
        <w:jc w:val="both"/>
      </w:pPr>
      <w:r>
        <w:rPr/>
        <w:t>El presente informe contiene resultados del proceso de seguimiento del Plan Estratégico Institucional PEI 2023 - 2028, durante el I semestre del 2024 (corte 30 de junio) el cual consideró el porcentaje de cumplimiento físico alcanzado por los ejes estratégicos, para un cumplimiento global del 54.20%.</w:t>
      </w:r>
    </w:p>
    <w:p>
      <w:pPr>
        <w:pStyle w:val="BodyText"/>
      </w:pPr>
    </w:p>
    <w:p>
      <w:pPr>
        <w:pStyle w:val="BodyText"/>
        <w:ind w:left="299" w:right="92"/>
        <w:jc w:val="both"/>
      </w:pPr>
      <w:r>
        <w:rPr/>
        <w:t>El mismo considera el cumplimiento de los 76 resultados activos contenidos en el PEI 2023 - 2028, los cuales están distribuidos entre los ejes estratégicos que lo conforman.</w:t>
      </w:r>
    </w:p>
    <w:p>
      <w:pPr>
        <w:pStyle w:val="BodyText"/>
        <w:spacing w:before="1"/>
      </w:pPr>
    </w:p>
    <w:p>
      <w:pPr>
        <w:pStyle w:val="BodyText"/>
        <w:ind w:left="299" w:right="94"/>
        <w:jc w:val="both"/>
      </w:pPr>
      <w:r>
        <w:rPr/>
        <w:t>Del total de resultados activos contenidos del PEI 2023-2028 en el I semestre 2024, 49 se ubican bajo la categoría de cumplimiento según lo programado, 1 se ubican bajo la categoría de riesgo de incumplimiento y 26 se ubican bajo la categoría de avance crítico.</w:t>
      </w:r>
    </w:p>
    <w:p>
      <w:pPr>
        <w:pStyle w:val="BodyText"/>
      </w:pPr>
    </w:p>
    <w:p>
      <w:pPr>
        <w:pStyle w:val="BodyText"/>
        <w:ind w:left="299" w:right="103"/>
        <w:jc w:val="both"/>
      </w:pPr>
      <w:r>
        <w:rPr/>
        <w:t>El</w:t>
      </w:r>
      <w:r>
        <w:rPr>
          <w:spacing w:val="-2"/>
        </w:rPr>
        <w:t> </w:t>
      </w:r>
      <w:r>
        <w:rPr/>
        <w:t>porcentaje</w:t>
      </w:r>
      <w:r>
        <w:rPr>
          <w:spacing w:val="-2"/>
        </w:rPr>
        <w:t> </w:t>
      </w:r>
      <w:r>
        <w:rPr/>
        <w:t>de</w:t>
      </w:r>
      <w:r>
        <w:rPr>
          <w:spacing w:val="-2"/>
        </w:rPr>
        <w:t> </w:t>
      </w:r>
      <w:r>
        <w:rPr/>
        <w:t>cumplimiento</w:t>
      </w:r>
      <w:r>
        <w:rPr>
          <w:spacing w:val="-2"/>
        </w:rPr>
        <w:t> </w:t>
      </w:r>
      <w:r>
        <w:rPr/>
        <w:t>de</w:t>
      </w:r>
      <w:r>
        <w:rPr>
          <w:spacing w:val="-2"/>
        </w:rPr>
        <w:t> </w:t>
      </w:r>
      <w:r>
        <w:rPr/>
        <w:t>los</w:t>
      </w:r>
      <w:r>
        <w:rPr>
          <w:spacing w:val="-2"/>
        </w:rPr>
        <w:t> </w:t>
      </w:r>
      <w:r>
        <w:rPr/>
        <w:t>resultados</w:t>
      </w:r>
      <w:r>
        <w:rPr>
          <w:spacing w:val="-2"/>
        </w:rPr>
        <w:t> </w:t>
      </w:r>
      <w:r>
        <w:rPr/>
        <w:t>PEI</w:t>
      </w:r>
      <w:r>
        <w:rPr>
          <w:spacing w:val="-2"/>
        </w:rPr>
        <w:t> </w:t>
      </w:r>
      <w:r>
        <w:rPr/>
        <w:t>es</w:t>
      </w:r>
      <w:r>
        <w:rPr>
          <w:spacing w:val="-2"/>
        </w:rPr>
        <w:t> </w:t>
      </w:r>
      <w:r>
        <w:rPr/>
        <w:t>el</w:t>
      </w:r>
      <w:r>
        <w:rPr>
          <w:spacing w:val="-2"/>
        </w:rPr>
        <w:t> </w:t>
      </w:r>
      <w:r>
        <w:rPr/>
        <w:t>promedio</w:t>
      </w:r>
      <w:r>
        <w:rPr>
          <w:spacing w:val="-4"/>
        </w:rPr>
        <w:t> </w:t>
      </w:r>
      <w:r>
        <w:rPr/>
        <w:t>de</w:t>
      </w:r>
      <w:r>
        <w:rPr>
          <w:spacing w:val="-2"/>
        </w:rPr>
        <w:t> </w:t>
      </w:r>
      <w:r>
        <w:rPr/>
        <w:t>los</w:t>
      </w:r>
      <w:r>
        <w:rPr>
          <w:spacing w:val="-2"/>
        </w:rPr>
        <w:t> </w:t>
      </w:r>
      <w:r>
        <w:rPr/>
        <w:t>resultados</w:t>
      </w:r>
      <w:r>
        <w:rPr>
          <w:spacing w:val="-2"/>
        </w:rPr>
        <w:t> </w:t>
      </w:r>
      <w:r>
        <w:rPr/>
        <w:t>alcanzados</w:t>
      </w:r>
      <w:r>
        <w:rPr>
          <w:spacing w:val="-2"/>
        </w:rPr>
        <w:t> </w:t>
      </w:r>
      <w:r>
        <w:rPr/>
        <w:t>de los productos programados en el POI - POGE vinculados a PEI.</w:t>
      </w:r>
    </w:p>
    <w:p>
      <w:pPr>
        <w:pStyle w:val="BodyText"/>
        <w:spacing w:after="0"/>
        <w:jc w:val="both"/>
        <w:sectPr>
          <w:pgSz w:w="13370" w:h="17280"/>
          <w:pgMar w:header="0" w:footer="969" w:top="600" w:bottom="1160" w:left="1275" w:right="992"/>
        </w:sectPr>
      </w:pPr>
    </w:p>
    <w:p>
      <w:pPr>
        <w:pStyle w:val="Heading1"/>
        <w:numPr>
          <w:ilvl w:val="0"/>
          <w:numId w:val="2"/>
        </w:numPr>
        <w:tabs>
          <w:tab w:pos="531" w:val="left" w:leader="none"/>
        </w:tabs>
        <w:spacing w:line="240" w:lineRule="auto" w:before="56" w:after="0"/>
        <w:ind w:left="531" w:right="0" w:hanging="366"/>
        <w:jc w:val="left"/>
        <w:rPr>
          <w:rFonts w:ascii="Arial" w:hAnsi="Arial"/>
          <w:sz w:val="42"/>
        </w:rPr>
      </w:pPr>
      <w:bookmarkStart w:name="_TOC_250003" w:id="2"/>
      <w:bookmarkEnd w:id="2"/>
      <w:r>
        <w:rPr>
          <w:rFonts w:ascii="Arial" w:hAnsi="Arial"/>
          <w:spacing w:val="-2"/>
        </w:rPr>
        <w:t>INTRODUCCIÓN.</w:t>
      </w:r>
    </w:p>
    <w:p>
      <w:pPr>
        <w:spacing w:line="161" w:lineRule="exact"/>
        <w:ind w:left="165" w:right="0" w:firstLine="0"/>
        <w:rPr>
          <w:position w:val="-2"/>
          <w:sz w:val="16"/>
        </w:rPr>
      </w:pPr>
      <w:r>
        <w:rPr>
          <w:position w:val="-2"/>
          <w:sz w:val="16"/>
        </w:rPr>
        <w:drawing>
          <wp:inline distT="0" distB="0" distL="0" distR="0">
            <wp:extent cx="6457986" cy="10239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6457986" cy="102393"/>
                    </a:xfrm>
                    <a:prstGeom prst="rect">
                      <a:avLst/>
                    </a:prstGeom>
                  </pic:spPr>
                </pic:pic>
              </a:graphicData>
            </a:graphic>
          </wp:inline>
        </w:drawing>
      </w:r>
      <w:r>
        <w:rPr>
          <w:position w:val="-2"/>
          <w:sz w:val="16"/>
        </w:rPr>
      </w:r>
    </w:p>
    <w:p>
      <w:pPr>
        <w:pStyle w:val="BodyText"/>
        <w:spacing w:before="71"/>
        <w:rPr>
          <w:b/>
          <w:sz w:val="44"/>
        </w:rPr>
      </w:pPr>
    </w:p>
    <w:p>
      <w:pPr>
        <w:pStyle w:val="BodyText"/>
        <w:ind w:left="165" w:right="597"/>
        <w:jc w:val="both"/>
      </w:pPr>
      <w:r>
        <w:rPr/>
        <w:t>Este informe tiene como objetivo presentar un análisis del avance y el seguimiento del </w:t>
      </w:r>
      <w:r>
        <w:rPr>
          <w:b/>
        </w:rPr>
        <w:t>Plan Estratégico Institucional 2023-2028 </w:t>
      </w:r>
      <w:r>
        <w:rPr/>
        <w:t>del Instituto Mixto de Ayuda Social IMAS, correspondiente al I semestre del 2024. El mismo responde al acuerdo del Consejo Directivo, N° 231-2023, de fecha 22 de setiembre del 2025, el “Por Tanto” ítems # 3 y # 4:</w:t>
      </w:r>
    </w:p>
    <w:p>
      <w:pPr>
        <w:pStyle w:val="BodyText"/>
      </w:pPr>
    </w:p>
    <w:p>
      <w:pPr>
        <w:pStyle w:val="BodyText"/>
        <w:ind w:left="1298" w:right="1720"/>
        <w:jc w:val="both"/>
      </w:pPr>
      <w:r>
        <w:rPr/>
        <w:t>“3-Se designa a la Gerencia General y Planificacion Institucional velar por</w:t>
      </w:r>
      <w:r>
        <w:rPr>
          <w:spacing w:val="40"/>
        </w:rPr>
        <w:t> </w:t>
      </w:r>
      <w:r>
        <w:rPr/>
        <w:t>el cumplimiento de lo establecido en el punto denominado Sistema de Seguimiento y Evaluación del PEI en el apartado 9 del documento, asimismo a los respectivos lideres de cada uno de los ejes estratégicos para su efectiva ejecución y seguimiento.</w:t>
      </w:r>
    </w:p>
    <w:p>
      <w:pPr>
        <w:pStyle w:val="BodyText"/>
        <w:spacing w:before="1"/>
      </w:pPr>
    </w:p>
    <w:p>
      <w:pPr>
        <w:pStyle w:val="BodyText"/>
        <w:ind w:left="1298" w:right="1714"/>
        <w:jc w:val="both"/>
      </w:pPr>
      <w:r>
        <w:rPr/>
        <w:t>4-Los informes de seguimiento serán presentados por la Gerencia General y Planificación Institucional a este órgano directivo para la toma de decisiones sobre los</w:t>
      </w:r>
      <w:r>
        <w:rPr>
          <w:spacing w:val="-2"/>
        </w:rPr>
        <w:t> </w:t>
      </w:r>
      <w:r>
        <w:rPr/>
        <w:t>ajustes de mejora en los</w:t>
      </w:r>
      <w:r>
        <w:rPr>
          <w:spacing w:val="-2"/>
        </w:rPr>
        <w:t> </w:t>
      </w:r>
      <w:r>
        <w:rPr/>
        <w:t>planes</w:t>
      </w:r>
      <w:r>
        <w:rPr>
          <w:spacing w:val="-2"/>
        </w:rPr>
        <w:t> </w:t>
      </w:r>
      <w:r>
        <w:rPr/>
        <w:t>de acción,</w:t>
      </w:r>
      <w:r>
        <w:rPr>
          <w:spacing w:val="-2"/>
        </w:rPr>
        <w:t> </w:t>
      </w:r>
      <w:r>
        <w:rPr/>
        <w:t>de acuerdo con el proceso de evaluación establecido. Ningún ajuste será válido si no</w:t>
      </w:r>
      <w:r>
        <w:rPr>
          <w:spacing w:val="40"/>
        </w:rPr>
        <w:t> </w:t>
      </w:r>
      <w:r>
        <w:rPr/>
        <w:t>es aprobado por este órgano directivo”.</w:t>
      </w:r>
    </w:p>
    <w:p>
      <w:pPr>
        <w:pStyle w:val="BodyText"/>
      </w:pPr>
    </w:p>
    <w:p>
      <w:pPr>
        <w:pStyle w:val="BodyText"/>
        <w:ind w:left="165"/>
        <w:jc w:val="both"/>
      </w:pPr>
      <w:r>
        <w:rPr/>
        <w:t>Además,</w:t>
      </w:r>
      <w:r>
        <w:rPr>
          <w:spacing w:val="61"/>
          <w:w w:val="150"/>
        </w:rPr>
        <w:t> </w:t>
      </w:r>
      <w:r>
        <w:rPr/>
        <w:t>también</w:t>
      </w:r>
      <w:r>
        <w:rPr>
          <w:spacing w:val="62"/>
          <w:w w:val="150"/>
        </w:rPr>
        <w:t> </w:t>
      </w:r>
      <w:r>
        <w:rPr/>
        <w:t>obedece</w:t>
      </w:r>
      <w:r>
        <w:rPr>
          <w:spacing w:val="66"/>
          <w:w w:val="150"/>
        </w:rPr>
        <w:t> </w:t>
      </w:r>
      <w:r>
        <w:rPr/>
        <w:t>a</w:t>
      </w:r>
      <w:r>
        <w:rPr>
          <w:spacing w:val="61"/>
          <w:w w:val="150"/>
        </w:rPr>
        <w:t> </w:t>
      </w:r>
      <w:r>
        <w:rPr/>
        <w:t>la</w:t>
      </w:r>
      <w:r>
        <w:rPr>
          <w:spacing w:val="63"/>
          <w:w w:val="150"/>
        </w:rPr>
        <w:t> </w:t>
      </w:r>
      <w:r>
        <w:rPr/>
        <w:t>Directriz</w:t>
      </w:r>
      <w:r>
        <w:rPr>
          <w:spacing w:val="61"/>
          <w:w w:val="150"/>
        </w:rPr>
        <w:t> </w:t>
      </w:r>
      <w:r>
        <w:rPr/>
        <w:t>IMAS-GG</w:t>
      </w:r>
      <w:r>
        <w:rPr>
          <w:spacing w:val="62"/>
          <w:w w:val="150"/>
        </w:rPr>
        <w:t> </w:t>
      </w:r>
      <w:r>
        <w:rPr/>
        <w:t>1943-2024:</w:t>
      </w:r>
      <w:r>
        <w:rPr>
          <w:spacing w:val="61"/>
          <w:w w:val="150"/>
        </w:rPr>
        <w:t> </w:t>
      </w:r>
      <w:r>
        <w:rPr/>
        <w:t>“Sobre</w:t>
      </w:r>
      <w:r>
        <w:rPr>
          <w:spacing w:val="62"/>
          <w:w w:val="150"/>
        </w:rPr>
        <w:t> </w:t>
      </w:r>
      <w:r>
        <w:rPr/>
        <w:t>el</w:t>
      </w:r>
      <w:r>
        <w:rPr>
          <w:spacing w:val="60"/>
          <w:w w:val="150"/>
        </w:rPr>
        <w:t> </w:t>
      </w:r>
      <w:r>
        <w:rPr/>
        <w:t>seguimiento</w:t>
      </w:r>
      <w:r>
        <w:rPr>
          <w:spacing w:val="63"/>
          <w:w w:val="150"/>
        </w:rPr>
        <w:t> </w:t>
      </w:r>
      <w:r>
        <w:rPr>
          <w:spacing w:val="-10"/>
        </w:rPr>
        <w:t>y</w:t>
      </w:r>
    </w:p>
    <w:p>
      <w:pPr>
        <w:pStyle w:val="BodyText"/>
        <w:ind w:left="165"/>
        <w:jc w:val="both"/>
      </w:pPr>
      <w:r>
        <w:rPr/>
        <w:t>evaluación</w:t>
      </w:r>
      <w:r>
        <w:rPr>
          <w:spacing w:val="-6"/>
        </w:rPr>
        <w:t> </w:t>
      </w:r>
      <w:r>
        <w:rPr/>
        <w:t>de</w:t>
      </w:r>
      <w:r>
        <w:rPr>
          <w:spacing w:val="-3"/>
        </w:rPr>
        <w:t> </w:t>
      </w:r>
      <w:r>
        <w:rPr/>
        <w:t>actividades</w:t>
      </w:r>
      <w:r>
        <w:rPr>
          <w:spacing w:val="-3"/>
        </w:rPr>
        <w:t> </w:t>
      </w:r>
      <w:r>
        <w:rPr/>
        <w:t>del</w:t>
      </w:r>
      <w:r>
        <w:rPr>
          <w:spacing w:val="-3"/>
        </w:rPr>
        <w:t> </w:t>
      </w:r>
      <w:r>
        <w:rPr/>
        <w:t>Plan</w:t>
      </w:r>
      <w:r>
        <w:rPr>
          <w:spacing w:val="-3"/>
        </w:rPr>
        <w:t> </w:t>
      </w:r>
      <w:r>
        <w:rPr/>
        <w:t>Estratégico</w:t>
      </w:r>
      <w:r>
        <w:rPr>
          <w:spacing w:val="-4"/>
        </w:rPr>
        <w:t> </w:t>
      </w:r>
      <w:r>
        <w:rPr/>
        <w:t>Institucional</w:t>
      </w:r>
      <w:r>
        <w:rPr>
          <w:spacing w:val="-3"/>
        </w:rPr>
        <w:t> </w:t>
      </w:r>
      <w:r>
        <w:rPr/>
        <w:t>2023-2028”,</w:t>
      </w:r>
      <w:r>
        <w:rPr>
          <w:spacing w:val="-3"/>
        </w:rPr>
        <w:t> </w:t>
      </w:r>
      <w:r>
        <w:rPr/>
        <w:t>temas</w:t>
      </w:r>
      <w:r>
        <w:rPr>
          <w:spacing w:val="-3"/>
        </w:rPr>
        <w:t> </w:t>
      </w:r>
      <w:r>
        <w:rPr/>
        <w:t>#6</w:t>
      </w:r>
      <w:r>
        <w:rPr>
          <w:spacing w:val="-3"/>
        </w:rPr>
        <w:t> </w:t>
      </w:r>
      <w:r>
        <w:rPr/>
        <w:t>y</w:t>
      </w:r>
      <w:r>
        <w:rPr>
          <w:spacing w:val="-3"/>
        </w:rPr>
        <w:t> </w:t>
      </w:r>
      <w:r>
        <w:rPr/>
        <w:t>#</w:t>
      </w:r>
      <w:r>
        <w:rPr>
          <w:spacing w:val="-5"/>
        </w:rPr>
        <w:t> 8:</w:t>
      </w:r>
    </w:p>
    <w:p>
      <w:pPr>
        <w:pStyle w:val="BodyText"/>
      </w:pPr>
    </w:p>
    <w:p>
      <w:pPr>
        <w:pStyle w:val="BodyText"/>
        <w:ind w:left="1298" w:right="1711"/>
        <w:jc w:val="both"/>
      </w:pPr>
      <w:r>
        <w:rPr>
          <w:b/>
        </w:rPr>
        <w:t>“SEXTO: </w:t>
      </w:r>
      <w:r>
        <w:rPr/>
        <w:t>Los informes de seguimiento del PEI 203-2028 se realizarán de forma semestral (cortes al 30 de junio y 31 de diciembre) y serán responsabilidad de Planificación Institucional, la cual comunicará los resultados a la Comisión de Seguimiento y Evaluación del PEI 2023-202, y luego se procederá a su presentación final ante el Consejo Directivo.</w:t>
      </w:r>
    </w:p>
    <w:p>
      <w:pPr>
        <w:pStyle w:val="BodyText"/>
      </w:pPr>
    </w:p>
    <w:p>
      <w:pPr>
        <w:pStyle w:val="BodyText"/>
        <w:ind w:left="1298" w:right="1710"/>
        <w:jc w:val="both"/>
      </w:pPr>
      <w:r>
        <w:rPr>
          <w:b/>
        </w:rPr>
        <w:t>OCTAVO: </w:t>
      </w:r>
      <w:r>
        <w:rPr/>
        <w:t>Cualquier modificación que se deba de realizar al PEI, debe ser aprobada por el Consejo Directivo como órgano responsable de la aprobación de la política institucional. Lo anterior así acordado por el Consejo Directivo mediante Acuerdo N° 2031-09-2023.</w:t>
      </w:r>
    </w:p>
    <w:p>
      <w:pPr>
        <w:pStyle w:val="BodyText"/>
        <w:spacing w:before="1"/>
      </w:pPr>
    </w:p>
    <w:p>
      <w:pPr>
        <w:pStyle w:val="BodyText"/>
        <w:ind w:left="165" w:right="600"/>
        <w:jc w:val="both"/>
      </w:pPr>
      <w:r>
        <w:rPr/>
        <w:t>Este</w:t>
      </w:r>
      <w:r>
        <w:rPr>
          <w:spacing w:val="-1"/>
        </w:rPr>
        <w:t> </w:t>
      </w:r>
      <w:r>
        <w:rPr/>
        <w:t>documento</w:t>
      </w:r>
      <w:r>
        <w:rPr>
          <w:spacing w:val="-2"/>
        </w:rPr>
        <w:t> </w:t>
      </w:r>
      <w:r>
        <w:rPr/>
        <w:t>busca</w:t>
      </w:r>
      <w:r>
        <w:rPr>
          <w:spacing w:val="-1"/>
        </w:rPr>
        <w:t> </w:t>
      </w:r>
      <w:r>
        <w:rPr/>
        <w:t>monitorear</w:t>
      </w:r>
      <w:r>
        <w:rPr>
          <w:spacing w:val="-1"/>
        </w:rPr>
        <w:t> </w:t>
      </w:r>
      <w:r>
        <w:rPr/>
        <w:t>el</w:t>
      </w:r>
      <w:r>
        <w:rPr>
          <w:spacing w:val="-2"/>
        </w:rPr>
        <w:t> </w:t>
      </w:r>
      <w:r>
        <w:rPr/>
        <w:t>cumplimiento</w:t>
      </w:r>
      <w:r>
        <w:rPr>
          <w:spacing w:val="-1"/>
        </w:rPr>
        <w:t> </w:t>
      </w:r>
      <w:r>
        <w:rPr/>
        <w:t>de</w:t>
      </w:r>
      <w:r>
        <w:rPr>
          <w:spacing w:val="-2"/>
        </w:rPr>
        <w:t> </w:t>
      </w:r>
      <w:r>
        <w:rPr/>
        <w:t>los</w:t>
      </w:r>
      <w:r>
        <w:rPr>
          <w:spacing w:val="-2"/>
        </w:rPr>
        <w:t> </w:t>
      </w:r>
      <w:r>
        <w:rPr/>
        <w:t>resultados</w:t>
      </w:r>
      <w:r>
        <w:rPr>
          <w:spacing w:val="-5"/>
        </w:rPr>
        <w:t> </w:t>
      </w:r>
      <w:r>
        <w:rPr/>
        <w:t>de</w:t>
      </w:r>
      <w:r>
        <w:rPr>
          <w:spacing w:val="-2"/>
        </w:rPr>
        <w:t> </w:t>
      </w:r>
      <w:r>
        <w:rPr/>
        <w:t>cada Eje</w:t>
      </w:r>
      <w:r>
        <w:rPr>
          <w:spacing w:val="-2"/>
        </w:rPr>
        <w:t> </w:t>
      </w:r>
      <w:r>
        <w:rPr/>
        <w:t>Estratégico,</w:t>
      </w:r>
      <w:r>
        <w:rPr>
          <w:spacing w:val="-2"/>
        </w:rPr>
        <w:t> </w:t>
      </w:r>
      <w:r>
        <w:rPr/>
        <w:t>los avances en los resultados, metas e indicadores propuestos, así como identificar los desafíos y oportunidades de mejora para asegurar el logro de los resultados previstos.</w:t>
      </w:r>
    </w:p>
    <w:p>
      <w:pPr>
        <w:pStyle w:val="BodyText"/>
      </w:pPr>
    </w:p>
    <w:p>
      <w:pPr>
        <w:pStyle w:val="BodyText"/>
        <w:ind w:left="165"/>
        <w:jc w:val="both"/>
      </w:pPr>
      <w:r>
        <w:rPr/>
        <w:t>El</w:t>
      </w:r>
      <w:r>
        <w:rPr>
          <w:spacing w:val="-4"/>
        </w:rPr>
        <w:t> </w:t>
      </w:r>
      <w:r>
        <w:rPr/>
        <w:t>Plan</w:t>
      </w:r>
      <w:r>
        <w:rPr>
          <w:spacing w:val="-5"/>
        </w:rPr>
        <w:t> </w:t>
      </w:r>
      <w:r>
        <w:rPr/>
        <w:t>Estratégico</w:t>
      </w:r>
      <w:r>
        <w:rPr>
          <w:spacing w:val="-4"/>
        </w:rPr>
        <w:t> </w:t>
      </w:r>
      <w:r>
        <w:rPr/>
        <w:t>Institucional</w:t>
      </w:r>
      <w:r>
        <w:rPr>
          <w:spacing w:val="-4"/>
        </w:rPr>
        <w:t> </w:t>
      </w:r>
      <w:r>
        <w:rPr/>
        <w:t>2023-2028,</w:t>
      </w:r>
      <w:r>
        <w:rPr>
          <w:spacing w:val="-5"/>
        </w:rPr>
        <w:t> </w:t>
      </w:r>
      <w:r>
        <w:rPr/>
        <w:t>tiene</w:t>
      </w:r>
      <w:r>
        <w:rPr>
          <w:spacing w:val="-4"/>
        </w:rPr>
        <w:t> </w:t>
      </w:r>
      <w:r>
        <w:rPr/>
        <w:t>como</w:t>
      </w:r>
      <w:r>
        <w:rPr>
          <w:spacing w:val="-2"/>
        </w:rPr>
        <w:t> objetivo:</w:t>
      </w:r>
    </w:p>
    <w:p>
      <w:pPr>
        <w:pStyle w:val="BodyText"/>
        <w:spacing w:before="274"/>
        <w:ind w:left="1017" w:right="2070"/>
        <w:jc w:val="both"/>
      </w:pPr>
      <w:r>
        <w:rPr/>
        <w:t>Orientar la acción estratégica del IMAS durante el quinquenio 2023-2028 en procura del desarrollo y mejoramiento de las condiciones de vida de la población en situación de pobreza y pobreza extrema del país, y de la generación de valor público sobre la prestación del servicio brindado”.</w:t>
      </w:r>
    </w:p>
    <w:p>
      <w:pPr>
        <w:pStyle w:val="BodyText"/>
      </w:pPr>
    </w:p>
    <w:p>
      <w:pPr>
        <w:pStyle w:val="BodyText"/>
        <w:ind w:left="165"/>
        <w:jc w:val="both"/>
      </w:pPr>
      <w:r>
        <w:rPr/>
        <w:t>Se</w:t>
      </w:r>
      <w:r>
        <w:rPr>
          <w:spacing w:val="-2"/>
        </w:rPr>
        <w:t> </w:t>
      </w:r>
      <w:r>
        <w:rPr/>
        <w:t>articula</w:t>
      </w:r>
      <w:r>
        <w:rPr>
          <w:spacing w:val="-2"/>
        </w:rPr>
        <w:t> </w:t>
      </w:r>
      <w:r>
        <w:rPr/>
        <w:t>en</w:t>
      </w:r>
      <w:r>
        <w:rPr>
          <w:spacing w:val="-4"/>
        </w:rPr>
        <w:t> </w:t>
      </w:r>
      <w:r>
        <w:rPr/>
        <w:t>torno</w:t>
      </w:r>
      <w:r>
        <w:rPr>
          <w:spacing w:val="-1"/>
        </w:rPr>
        <w:t> </w:t>
      </w:r>
      <w:r>
        <w:rPr/>
        <w:t>a</w:t>
      </w:r>
      <w:r>
        <w:rPr>
          <w:spacing w:val="-1"/>
        </w:rPr>
        <w:t> </w:t>
      </w:r>
      <w:r>
        <w:rPr/>
        <w:t>los</w:t>
      </w:r>
      <w:r>
        <w:rPr>
          <w:spacing w:val="-2"/>
        </w:rPr>
        <w:t> </w:t>
      </w:r>
      <w:r>
        <w:rPr/>
        <w:t>siguientes</w:t>
      </w:r>
      <w:r>
        <w:rPr>
          <w:spacing w:val="-4"/>
        </w:rPr>
        <w:t> </w:t>
      </w:r>
      <w:r>
        <w:rPr/>
        <w:t>ejes</w:t>
      </w:r>
      <w:r>
        <w:rPr>
          <w:spacing w:val="-1"/>
        </w:rPr>
        <w:t> </w:t>
      </w:r>
      <w:r>
        <w:rPr>
          <w:spacing w:val="-2"/>
        </w:rPr>
        <w:t>estratégicos:</w:t>
      </w:r>
    </w:p>
    <w:p>
      <w:pPr>
        <w:pStyle w:val="BodyText"/>
      </w:pPr>
    </w:p>
    <w:p>
      <w:pPr>
        <w:pStyle w:val="ListParagraph"/>
        <w:numPr>
          <w:ilvl w:val="1"/>
          <w:numId w:val="2"/>
        </w:numPr>
        <w:tabs>
          <w:tab w:pos="1605" w:val="left" w:leader="none"/>
        </w:tabs>
        <w:spacing w:line="240" w:lineRule="auto" w:before="0" w:after="0"/>
        <w:ind w:left="1605" w:right="0" w:hanging="588"/>
        <w:jc w:val="left"/>
        <w:rPr>
          <w:sz w:val="24"/>
        </w:rPr>
      </w:pPr>
      <w:r>
        <w:rPr>
          <w:sz w:val="24"/>
        </w:rPr>
        <w:t>Gestión</w:t>
      </w:r>
      <w:r>
        <w:rPr>
          <w:spacing w:val="-6"/>
          <w:sz w:val="24"/>
        </w:rPr>
        <w:t> </w:t>
      </w:r>
      <w:r>
        <w:rPr>
          <w:sz w:val="24"/>
        </w:rPr>
        <w:t>del</w:t>
      </w:r>
      <w:r>
        <w:rPr>
          <w:spacing w:val="-3"/>
          <w:sz w:val="24"/>
        </w:rPr>
        <w:t> </w:t>
      </w:r>
      <w:r>
        <w:rPr>
          <w:sz w:val="24"/>
        </w:rPr>
        <w:t>cambio</w:t>
      </w:r>
      <w:r>
        <w:rPr>
          <w:spacing w:val="-5"/>
          <w:sz w:val="24"/>
        </w:rPr>
        <w:t> </w:t>
      </w:r>
      <w:r>
        <w:rPr>
          <w:sz w:val="24"/>
        </w:rPr>
        <w:t>e</w:t>
      </w:r>
      <w:r>
        <w:rPr>
          <w:spacing w:val="-3"/>
          <w:sz w:val="24"/>
        </w:rPr>
        <w:t> </w:t>
      </w:r>
      <w:r>
        <w:rPr>
          <w:sz w:val="24"/>
        </w:rPr>
        <w:t>innovación</w:t>
      </w:r>
      <w:r>
        <w:rPr>
          <w:spacing w:val="-2"/>
          <w:sz w:val="24"/>
        </w:rPr>
        <w:t> Institucional.</w:t>
      </w:r>
    </w:p>
    <w:p>
      <w:pPr>
        <w:pStyle w:val="ListParagraph"/>
        <w:numPr>
          <w:ilvl w:val="1"/>
          <w:numId w:val="2"/>
        </w:numPr>
        <w:tabs>
          <w:tab w:pos="1605" w:val="left" w:leader="none"/>
        </w:tabs>
        <w:spacing w:line="240" w:lineRule="auto" w:before="0" w:after="0"/>
        <w:ind w:left="1605" w:right="0" w:hanging="588"/>
        <w:jc w:val="left"/>
        <w:rPr>
          <w:sz w:val="24"/>
        </w:rPr>
      </w:pPr>
      <w:r>
        <w:rPr>
          <w:sz w:val="24"/>
        </w:rPr>
        <w:t>Gestión</w:t>
      </w:r>
      <w:r>
        <w:rPr>
          <w:spacing w:val="-5"/>
          <w:sz w:val="24"/>
        </w:rPr>
        <w:t> </w:t>
      </w:r>
      <w:r>
        <w:rPr>
          <w:sz w:val="24"/>
        </w:rPr>
        <w:t>del</w:t>
      </w:r>
      <w:r>
        <w:rPr>
          <w:spacing w:val="-5"/>
          <w:sz w:val="24"/>
        </w:rPr>
        <w:t> </w:t>
      </w:r>
      <w:r>
        <w:rPr>
          <w:sz w:val="24"/>
        </w:rPr>
        <w:t>desarrollo</w:t>
      </w:r>
      <w:r>
        <w:rPr>
          <w:spacing w:val="-4"/>
          <w:sz w:val="24"/>
        </w:rPr>
        <w:t> </w:t>
      </w:r>
      <w:r>
        <w:rPr>
          <w:sz w:val="24"/>
        </w:rPr>
        <w:t>con</w:t>
      </w:r>
      <w:r>
        <w:rPr>
          <w:spacing w:val="-2"/>
          <w:sz w:val="24"/>
        </w:rPr>
        <w:t> </w:t>
      </w:r>
      <w:r>
        <w:rPr>
          <w:sz w:val="24"/>
        </w:rPr>
        <w:t>enfoque</w:t>
      </w:r>
      <w:r>
        <w:rPr>
          <w:spacing w:val="-4"/>
          <w:sz w:val="24"/>
        </w:rPr>
        <w:t> </w:t>
      </w:r>
      <w:r>
        <w:rPr>
          <w:spacing w:val="-2"/>
          <w:sz w:val="24"/>
        </w:rPr>
        <w:t>interseccional</w:t>
      </w:r>
    </w:p>
    <w:p>
      <w:pPr>
        <w:pStyle w:val="ListParagraph"/>
        <w:numPr>
          <w:ilvl w:val="1"/>
          <w:numId w:val="2"/>
        </w:numPr>
        <w:tabs>
          <w:tab w:pos="1605" w:val="left" w:leader="none"/>
        </w:tabs>
        <w:spacing w:line="240" w:lineRule="auto" w:before="1" w:after="0"/>
        <w:ind w:left="1605" w:right="0" w:hanging="588"/>
        <w:jc w:val="left"/>
        <w:rPr>
          <w:sz w:val="24"/>
        </w:rPr>
      </w:pPr>
      <w:r>
        <w:rPr>
          <w:sz w:val="24"/>
        </w:rPr>
        <w:t>Gestión</w:t>
      </w:r>
      <w:r>
        <w:rPr>
          <w:spacing w:val="-8"/>
          <w:sz w:val="24"/>
        </w:rPr>
        <w:t> </w:t>
      </w:r>
      <w:r>
        <w:rPr>
          <w:sz w:val="24"/>
        </w:rPr>
        <w:t>del</w:t>
      </w:r>
      <w:r>
        <w:rPr>
          <w:spacing w:val="-6"/>
          <w:sz w:val="24"/>
        </w:rPr>
        <w:t> </w:t>
      </w:r>
      <w:r>
        <w:rPr>
          <w:sz w:val="24"/>
        </w:rPr>
        <w:t>desarrollo</w:t>
      </w:r>
      <w:r>
        <w:rPr>
          <w:spacing w:val="-5"/>
          <w:sz w:val="24"/>
        </w:rPr>
        <w:t> </w:t>
      </w:r>
      <w:r>
        <w:rPr>
          <w:sz w:val="24"/>
        </w:rPr>
        <w:t>regional</w:t>
      </w:r>
      <w:r>
        <w:rPr>
          <w:spacing w:val="-6"/>
          <w:sz w:val="24"/>
        </w:rPr>
        <w:t> </w:t>
      </w:r>
      <w:r>
        <w:rPr>
          <w:sz w:val="24"/>
        </w:rPr>
        <w:t>e</w:t>
      </w:r>
      <w:r>
        <w:rPr>
          <w:spacing w:val="-4"/>
          <w:sz w:val="24"/>
        </w:rPr>
        <w:t> </w:t>
      </w:r>
      <w:r>
        <w:rPr>
          <w:sz w:val="24"/>
        </w:rPr>
        <w:t>inversión</w:t>
      </w:r>
      <w:r>
        <w:rPr>
          <w:spacing w:val="-3"/>
          <w:sz w:val="24"/>
        </w:rPr>
        <w:t> </w:t>
      </w:r>
      <w:r>
        <w:rPr>
          <w:sz w:val="24"/>
        </w:rPr>
        <w:t>social</w:t>
      </w:r>
      <w:r>
        <w:rPr>
          <w:spacing w:val="-3"/>
          <w:sz w:val="24"/>
        </w:rPr>
        <w:t> </w:t>
      </w:r>
      <w:r>
        <w:rPr>
          <w:spacing w:val="-2"/>
          <w:sz w:val="24"/>
        </w:rPr>
        <w:t>territorial</w:t>
      </w:r>
    </w:p>
    <w:p>
      <w:pPr>
        <w:pStyle w:val="ListParagraph"/>
        <w:numPr>
          <w:ilvl w:val="1"/>
          <w:numId w:val="2"/>
        </w:numPr>
        <w:tabs>
          <w:tab w:pos="1605" w:val="left" w:leader="none"/>
        </w:tabs>
        <w:spacing w:line="240" w:lineRule="auto" w:before="0" w:after="0"/>
        <w:ind w:left="1605" w:right="0" w:hanging="588"/>
        <w:jc w:val="left"/>
        <w:rPr>
          <w:sz w:val="24"/>
        </w:rPr>
      </w:pPr>
      <w:r>
        <w:rPr>
          <w:sz w:val="24"/>
        </w:rPr>
        <w:t>Rectoría</w:t>
      </w:r>
      <w:r>
        <w:rPr>
          <w:spacing w:val="-3"/>
          <w:sz w:val="24"/>
        </w:rPr>
        <w:t> </w:t>
      </w:r>
      <w:r>
        <w:rPr>
          <w:sz w:val="24"/>
        </w:rPr>
        <w:t>técnica</w:t>
      </w:r>
      <w:r>
        <w:rPr>
          <w:spacing w:val="-4"/>
          <w:sz w:val="24"/>
        </w:rPr>
        <w:t> </w:t>
      </w:r>
      <w:r>
        <w:rPr>
          <w:sz w:val="24"/>
        </w:rPr>
        <w:t>social</w:t>
      </w:r>
      <w:r>
        <w:rPr>
          <w:spacing w:val="-4"/>
          <w:sz w:val="24"/>
        </w:rPr>
        <w:t> </w:t>
      </w:r>
      <w:r>
        <w:rPr>
          <w:sz w:val="24"/>
        </w:rPr>
        <w:t>y</w:t>
      </w:r>
      <w:r>
        <w:rPr>
          <w:spacing w:val="-2"/>
          <w:sz w:val="24"/>
        </w:rPr>
        <w:t> articulación</w:t>
      </w:r>
    </w:p>
    <w:p>
      <w:pPr>
        <w:pStyle w:val="ListParagraph"/>
        <w:numPr>
          <w:ilvl w:val="1"/>
          <w:numId w:val="2"/>
        </w:numPr>
        <w:tabs>
          <w:tab w:pos="1605" w:val="left" w:leader="none"/>
        </w:tabs>
        <w:spacing w:line="240" w:lineRule="auto" w:before="0" w:after="0"/>
        <w:ind w:left="1605" w:right="0" w:hanging="588"/>
        <w:jc w:val="left"/>
        <w:rPr>
          <w:sz w:val="24"/>
        </w:rPr>
      </w:pPr>
      <w:r>
        <w:rPr>
          <w:sz w:val="24"/>
        </w:rPr>
        <w:t>Gestión</w:t>
      </w:r>
      <w:r>
        <w:rPr>
          <w:spacing w:val="-4"/>
          <w:sz w:val="24"/>
        </w:rPr>
        <w:t> </w:t>
      </w:r>
      <w:r>
        <w:rPr>
          <w:sz w:val="24"/>
        </w:rPr>
        <w:t>de</w:t>
      </w:r>
      <w:r>
        <w:rPr>
          <w:spacing w:val="-3"/>
          <w:sz w:val="24"/>
        </w:rPr>
        <w:t> </w:t>
      </w:r>
      <w:r>
        <w:rPr>
          <w:sz w:val="24"/>
        </w:rPr>
        <w:t>recursos</w:t>
      </w:r>
      <w:r>
        <w:rPr>
          <w:spacing w:val="-2"/>
          <w:sz w:val="24"/>
        </w:rPr>
        <w:t> </w:t>
      </w:r>
      <w:r>
        <w:rPr>
          <w:sz w:val="24"/>
        </w:rPr>
        <w:t>y</w:t>
      </w:r>
      <w:r>
        <w:rPr>
          <w:spacing w:val="-3"/>
          <w:sz w:val="24"/>
        </w:rPr>
        <w:t> </w:t>
      </w:r>
      <w:r>
        <w:rPr>
          <w:sz w:val="24"/>
        </w:rPr>
        <w:t>alianzas</w:t>
      </w:r>
      <w:r>
        <w:rPr>
          <w:spacing w:val="-3"/>
          <w:sz w:val="24"/>
        </w:rPr>
        <w:t> </w:t>
      </w:r>
      <w:r>
        <w:rPr>
          <w:spacing w:val="-2"/>
          <w:sz w:val="24"/>
        </w:rPr>
        <w:t>estratégicas</w:t>
      </w:r>
    </w:p>
    <w:p>
      <w:pPr>
        <w:pStyle w:val="ListParagraph"/>
        <w:numPr>
          <w:ilvl w:val="1"/>
          <w:numId w:val="2"/>
        </w:numPr>
        <w:tabs>
          <w:tab w:pos="1605" w:val="left" w:leader="none"/>
        </w:tabs>
        <w:spacing w:line="240" w:lineRule="auto" w:before="0" w:after="0"/>
        <w:ind w:left="1605" w:right="0" w:hanging="588"/>
        <w:jc w:val="left"/>
        <w:rPr>
          <w:sz w:val="24"/>
        </w:rPr>
      </w:pPr>
      <w:r>
        <w:rPr>
          <w:sz w:val="24"/>
        </w:rPr>
        <w:t>Gestión</w:t>
      </w:r>
      <w:r>
        <w:rPr>
          <w:spacing w:val="-5"/>
          <w:sz w:val="24"/>
        </w:rPr>
        <w:t> </w:t>
      </w:r>
      <w:r>
        <w:rPr>
          <w:sz w:val="24"/>
        </w:rPr>
        <w:t>del</w:t>
      </w:r>
      <w:r>
        <w:rPr>
          <w:spacing w:val="-3"/>
          <w:sz w:val="24"/>
        </w:rPr>
        <w:t> </w:t>
      </w:r>
      <w:r>
        <w:rPr>
          <w:sz w:val="24"/>
        </w:rPr>
        <w:t>Desarrollo</w:t>
      </w:r>
      <w:r>
        <w:rPr>
          <w:spacing w:val="-4"/>
          <w:sz w:val="24"/>
        </w:rPr>
        <w:t> </w:t>
      </w:r>
      <w:r>
        <w:rPr>
          <w:spacing w:val="-2"/>
          <w:sz w:val="24"/>
        </w:rPr>
        <w:t>Humano.</w:t>
      </w:r>
    </w:p>
    <w:p>
      <w:pPr>
        <w:pStyle w:val="ListParagraph"/>
        <w:spacing w:after="0" w:line="240" w:lineRule="auto"/>
        <w:jc w:val="left"/>
        <w:rPr>
          <w:sz w:val="24"/>
        </w:rPr>
        <w:sectPr>
          <w:footerReference w:type="default" r:id="rId8"/>
          <w:pgSz w:w="13370" w:h="17280"/>
          <w:pgMar w:header="0" w:footer="969" w:top="820" w:bottom="1160" w:left="1275" w:right="992"/>
        </w:sectPr>
      </w:pPr>
    </w:p>
    <w:p>
      <w:pPr>
        <w:spacing w:before="74"/>
        <w:ind w:left="165" w:right="598" w:firstLine="0"/>
        <w:jc w:val="both"/>
        <w:rPr>
          <w:sz w:val="24"/>
        </w:rPr>
      </w:pPr>
      <w:r>
        <w:rPr>
          <w:sz w:val="24"/>
        </w:rPr>
        <w:t>Se debe señalar que el Eje Estratégico # 6: Gestión de Desarrollo Humano, fue aprobado para su inclusión en el Plan Estratégico Institucional 2023-228 mediante acuerdo N° 99-05-2024, de fecha 30 de mayo del año en curso, para responder el Informe DFOE-BIS-IAD-00014-2023 de la Contraloría General de la República: </w:t>
      </w:r>
      <w:r>
        <w:rPr>
          <w:i/>
          <w:sz w:val="24"/>
        </w:rPr>
        <w:t>“Auditoría de carácter especial sobre la planificación</w:t>
      </w:r>
      <w:r>
        <w:rPr>
          <w:i/>
          <w:sz w:val="24"/>
        </w:rPr>
        <w:t> estratégica del recurso humano en el Instituto Mixto de Ayuda Social </w:t>
      </w:r>
      <w:r>
        <w:rPr>
          <w:sz w:val="24"/>
        </w:rPr>
        <w:t>(IMAS)”, y al acuerdo del Consejo Directivo N° 301-11-2023 de fecha 23 de noviembre del 2023, que acuerda textualmente lo siguiente:</w:t>
      </w:r>
    </w:p>
    <w:p>
      <w:pPr>
        <w:pStyle w:val="BodyText"/>
      </w:pPr>
    </w:p>
    <w:p>
      <w:pPr>
        <w:pStyle w:val="BodyText"/>
        <w:ind w:left="1017" w:right="1235"/>
      </w:pPr>
      <w:r>
        <w:rPr/>
        <w:t>“… 3- Instruir a Desarrollo Humano y a Planificación Institucional para que trasladen al Consejo Directivo los siguientes documentos:</w:t>
      </w:r>
    </w:p>
    <w:p>
      <w:pPr>
        <w:pStyle w:val="BodyText"/>
      </w:pPr>
    </w:p>
    <w:p>
      <w:pPr>
        <w:pStyle w:val="ListParagraph"/>
        <w:numPr>
          <w:ilvl w:val="2"/>
          <w:numId w:val="2"/>
        </w:numPr>
        <w:tabs>
          <w:tab w:pos="1169" w:val="left" w:leader="none"/>
        </w:tabs>
        <w:spacing w:line="240" w:lineRule="auto" w:before="0" w:after="0"/>
        <w:ind w:left="1017" w:right="2071" w:firstLine="0"/>
        <w:jc w:val="left"/>
        <w:rPr>
          <w:sz w:val="24"/>
        </w:rPr>
      </w:pPr>
      <w:r>
        <w:rPr>
          <w:sz w:val="24"/>
        </w:rPr>
        <w:t>En el</w:t>
      </w:r>
      <w:r>
        <w:rPr>
          <w:spacing w:val="-2"/>
          <w:sz w:val="24"/>
        </w:rPr>
        <w:t> </w:t>
      </w:r>
      <w:r>
        <w:rPr>
          <w:sz w:val="24"/>
        </w:rPr>
        <w:t>mes</w:t>
      </w:r>
      <w:r>
        <w:rPr>
          <w:spacing w:val="-2"/>
          <w:sz w:val="24"/>
        </w:rPr>
        <w:t> </w:t>
      </w:r>
      <w:r>
        <w:rPr>
          <w:sz w:val="24"/>
        </w:rPr>
        <w:t>de</w:t>
      </w:r>
      <w:r>
        <w:rPr>
          <w:spacing w:val="-1"/>
          <w:sz w:val="24"/>
        </w:rPr>
        <w:t> </w:t>
      </w:r>
      <w:r>
        <w:rPr>
          <w:sz w:val="24"/>
        </w:rPr>
        <w:t>mayo</w:t>
      </w:r>
      <w:r>
        <w:rPr>
          <w:spacing w:val="-2"/>
          <w:sz w:val="24"/>
        </w:rPr>
        <w:t> </w:t>
      </w:r>
      <w:r>
        <w:rPr>
          <w:sz w:val="24"/>
        </w:rPr>
        <w:t>del 2024, la</w:t>
      </w:r>
      <w:r>
        <w:rPr>
          <w:spacing w:val="-2"/>
          <w:sz w:val="24"/>
        </w:rPr>
        <w:t> </w:t>
      </w:r>
      <w:r>
        <w:rPr>
          <w:sz w:val="24"/>
        </w:rPr>
        <w:t>propuesta de plan</w:t>
      </w:r>
      <w:r>
        <w:rPr>
          <w:spacing w:val="-1"/>
          <w:sz w:val="24"/>
        </w:rPr>
        <w:t> </w:t>
      </w:r>
      <w:r>
        <w:rPr>
          <w:sz w:val="24"/>
        </w:rPr>
        <w:t>de</w:t>
      </w:r>
      <w:r>
        <w:rPr>
          <w:spacing w:val="-1"/>
          <w:sz w:val="24"/>
        </w:rPr>
        <w:t> </w:t>
      </w:r>
      <w:r>
        <w:rPr>
          <w:sz w:val="24"/>
        </w:rPr>
        <w:t>recurso</w:t>
      </w:r>
      <w:r>
        <w:rPr>
          <w:spacing w:val="-2"/>
          <w:sz w:val="24"/>
        </w:rPr>
        <w:t> </w:t>
      </w:r>
      <w:r>
        <w:rPr>
          <w:sz w:val="24"/>
        </w:rPr>
        <w:t>humano de mediano y largo plazo del Instituto Mixto de Ayuda Social.</w:t>
      </w:r>
    </w:p>
    <w:p>
      <w:pPr>
        <w:pStyle w:val="ListParagraph"/>
        <w:numPr>
          <w:ilvl w:val="2"/>
          <w:numId w:val="2"/>
        </w:numPr>
        <w:tabs>
          <w:tab w:pos="1312" w:val="left" w:leader="none"/>
          <w:tab w:pos="1734" w:val="left" w:leader="none"/>
          <w:tab w:pos="2211" w:val="left" w:leader="none"/>
          <w:tab w:pos="2688" w:val="left" w:leader="none"/>
          <w:tab w:pos="4019" w:val="left" w:leader="none"/>
          <w:tab w:pos="4549" w:val="left" w:leader="none"/>
          <w:tab w:pos="5357" w:val="left" w:leader="none"/>
          <w:tab w:pos="5834" w:val="left" w:leader="none"/>
          <w:tab w:pos="6841" w:val="left" w:leader="none"/>
          <w:tab w:pos="7371" w:val="left" w:leader="none"/>
          <w:tab w:pos="8354" w:val="left" w:leader="none"/>
          <w:tab w:pos="8831" w:val="left" w:leader="none"/>
        </w:tabs>
        <w:spacing w:line="240" w:lineRule="auto" w:before="0" w:after="0"/>
        <w:ind w:left="1312" w:right="0" w:hanging="295"/>
        <w:jc w:val="left"/>
        <w:rPr>
          <w:sz w:val="24"/>
        </w:rPr>
      </w:pPr>
      <w:r>
        <w:rPr>
          <w:spacing w:val="-5"/>
          <w:sz w:val="24"/>
        </w:rPr>
        <w:t>Al</w:t>
      </w:r>
      <w:r>
        <w:rPr>
          <w:sz w:val="24"/>
        </w:rPr>
        <w:tab/>
      </w:r>
      <w:r>
        <w:rPr>
          <w:spacing w:val="-5"/>
          <w:sz w:val="24"/>
        </w:rPr>
        <w:t>15</w:t>
      </w:r>
      <w:r>
        <w:rPr>
          <w:sz w:val="24"/>
        </w:rPr>
        <w:tab/>
      </w:r>
      <w:r>
        <w:rPr>
          <w:spacing w:val="-5"/>
          <w:sz w:val="24"/>
        </w:rPr>
        <w:t>de</w:t>
      </w:r>
      <w:r>
        <w:rPr>
          <w:sz w:val="24"/>
        </w:rPr>
        <w:tab/>
      </w:r>
      <w:r>
        <w:rPr>
          <w:spacing w:val="-2"/>
          <w:sz w:val="24"/>
        </w:rPr>
        <w:t>noviembre</w:t>
      </w:r>
      <w:r>
        <w:rPr>
          <w:sz w:val="24"/>
        </w:rPr>
        <w:tab/>
      </w:r>
      <w:r>
        <w:rPr>
          <w:spacing w:val="-5"/>
          <w:sz w:val="24"/>
        </w:rPr>
        <w:t>del</w:t>
      </w:r>
      <w:r>
        <w:rPr>
          <w:sz w:val="24"/>
        </w:rPr>
        <w:tab/>
      </w:r>
      <w:r>
        <w:rPr>
          <w:spacing w:val="-4"/>
          <w:sz w:val="24"/>
        </w:rPr>
        <w:t>2024,</w:t>
      </w:r>
      <w:r>
        <w:rPr>
          <w:sz w:val="24"/>
        </w:rPr>
        <w:tab/>
      </w:r>
      <w:r>
        <w:rPr>
          <w:spacing w:val="-5"/>
          <w:sz w:val="24"/>
        </w:rPr>
        <w:t>un</w:t>
      </w:r>
      <w:r>
        <w:rPr>
          <w:sz w:val="24"/>
        </w:rPr>
        <w:tab/>
      </w:r>
      <w:r>
        <w:rPr>
          <w:spacing w:val="-2"/>
          <w:sz w:val="24"/>
        </w:rPr>
        <w:t>informe</w:t>
      </w:r>
      <w:r>
        <w:rPr>
          <w:sz w:val="24"/>
        </w:rPr>
        <w:tab/>
      </w:r>
      <w:r>
        <w:rPr>
          <w:spacing w:val="-5"/>
          <w:sz w:val="24"/>
        </w:rPr>
        <w:t>del</w:t>
      </w:r>
      <w:r>
        <w:rPr>
          <w:sz w:val="24"/>
        </w:rPr>
        <w:tab/>
      </w:r>
      <w:r>
        <w:rPr>
          <w:spacing w:val="-2"/>
          <w:sz w:val="24"/>
        </w:rPr>
        <w:t>avance</w:t>
      </w:r>
      <w:r>
        <w:rPr>
          <w:sz w:val="24"/>
        </w:rPr>
        <w:tab/>
      </w:r>
      <w:r>
        <w:rPr>
          <w:spacing w:val="-5"/>
          <w:sz w:val="24"/>
        </w:rPr>
        <w:t>en</w:t>
      </w:r>
      <w:r>
        <w:rPr>
          <w:sz w:val="24"/>
        </w:rPr>
        <w:tab/>
      </w:r>
      <w:r>
        <w:rPr>
          <w:spacing w:val="-5"/>
          <w:sz w:val="24"/>
        </w:rPr>
        <w:t>la</w:t>
      </w:r>
    </w:p>
    <w:p>
      <w:pPr>
        <w:pStyle w:val="BodyText"/>
        <w:spacing w:before="1"/>
        <w:ind w:left="1017"/>
      </w:pPr>
      <w:r>
        <w:rPr/>
        <w:t>implementación</w:t>
      </w:r>
      <w:r>
        <w:rPr>
          <w:spacing w:val="-5"/>
        </w:rPr>
        <w:t> </w:t>
      </w:r>
      <w:r>
        <w:rPr/>
        <w:t>del</w:t>
      </w:r>
      <w:r>
        <w:rPr>
          <w:spacing w:val="-4"/>
        </w:rPr>
        <w:t> </w:t>
      </w:r>
      <w:r>
        <w:rPr>
          <w:spacing w:val="-2"/>
        </w:rPr>
        <w:t>Plan.”</w:t>
      </w:r>
    </w:p>
    <w:p>
      <w:pPr>
        <w:pStyle w:val="BodyText"/>
      </w:pPr>
    </w:p>
    <w:p>
      <w:pPr>
        <w:pStyle w:val="BodyText"/>
        <w:ind w:left="165" w:right="600"/>
        <w:jc w:val="both"/>
      </w:pPr>
      <w:r>
        <w:rPr/>
        <w:t>El presente informe recoge los registros ingresados de los avances de cada uno de los resultados por medio de una interfaz del POI -POGE 2024, en la herramienta DELPHOS y está estructurado en las siguientes secciones:</w:t>
      </w:r>
    </w:p>
    <w:p>
      <w:pPr>
        <w:pStyle w:val="BodyText"/>
      </w:pPr>
    </w:p>
    <w:p>
      <w:pPr>
        <w:pStyle w:val="ListParagraph"/>
        <w:numPr>
          <w:ilvl w:val="0"/>
          <w:numId w:val="3"/>
        </w:numPr>
        <w:tabs>
          <w:tab w:pos="884" w:val="left" w:leader="none"/>
        </w:tabs>
        <w:spacing w:line="240" w:lineRule="auto" w:before="0" w:after="0"/>
        <w:ind w:left="884" w:right="0" w:hanging="359"/>
        <w:jc w:val="left"/>
        <w:rPr>
          <w:sz w:val="24"/>
        </w:rPr>
      </w:pPr>
      <w:r>
        <w:rPr>
          <w:b/>
          <w:sz w:val="24"/>
        </w:rPr>
        <w:t>Metodología</w:t>
      </w:r>
      <w:r>
        <w:rPr>
          <w:sz w:val="24"/>
        </w:rPr>
        <w:t>:</w:t>
      </w:r>
      <w:r>
        <w:rPr>
          <w:spacing w:val="-4"/>
          <w:sz w:val="24"/>
        </w:rPr>
        <w:t> </w:t>
      </w:r>
      <w:r>
        <w:rPr>
          <w:sz w:val="24"/>
        </w:rPr>
        <w:t>cómo</w:t>
      </w:r>
      <w:r>
        <w:rPr>
          <w:spacing w:val="-4"/>
          <w:sz w:val="24"/>
        </w:rPr>
        <w:t> </w:t>
      </w:r>
      <w:r>
        <w:rPr>
          <w:sz w:val="24"/>
        </w:rPr>
        <w:t>se</w:t>
      </w:r>
      <w:r>
        <w:rPr>
          <w:spacing w:val="-3"/>
          <w:sz w:val="24"/>
        </w:rPr>
        <w:t> </w:t>
      </w:r>
      <w:r>
        <w:rPr>
          <w:sz w:val="24"/>
        </w:rPr>
        <w:t>construyó</w:t>
      </w:r>
      <w:r>
        <w:rPr>
          <w:spacing w:val="-2"/>
          <w:sz w:val="24"/>
        </w:rPr>
        <w:t> </w:t>
      </w:r>
      <w:r>
        <w:rPr>
          <w:sz w:val="24"/>
        </w:rPr>
        <w:t>el</w:t>
      </w:r>
      <w:r>
        <w:rPr>
          <w:spacing w:val="-3"/>
          <w:sz w:val="24"/>
        </w:rPr>
        <w:t> </w:t>
      </w:r>
      <w:r>
        <w:rPr>
          <w:spacing w:val="-2"/>
          <w:sz w:val="24"/>
        </w:rPr>
        <w:t>informe</w:t>
      </w:r>
    </w:p>
    <w:p>
      <w:pPr>
        <w:pStyle w:val="ListParagraph"/>
        <w:numPr>
          <w:ilvl w:val="0"/>
          <w:numId w:val="3"/>
        </w:numPr>
        <w:tabs>
          <w:tab w:pos="885" w:val="left" w:leader="none"/>
        </w:tabs>
        <w:spacing w:line="240" w:lineRule="auto" w:before="0" w:after="0"/>
        <w:ind w:left="885" w:right="606" w:hanging="360"/>
        <w:jc w:val="left"/>
        <w:rPr>
          <w:sz w:val="24"/>
        </w:rPr>
      </w:pPr>
      <w:r>
        <w:rPr>
          <w:b/>
          <w:sz w:val="24"/>
        </w:rPr>
        <w:t>Presentación de los datos y análisis</w:t>
      </w:r>
      <w:r>
        <w:rPr>
          <w:sz w:val="24"/>
        </w:rPr>
        <w:t>: se presentan el detalle de los resultados según</w:t>
      </w:r>
      <w:r>
        <w:rPr>
          <w:spacing w:val="80"/>
          <w:sz w:val="24"/>
        </w:rPr>
        <w:t> </w:t>
      </w:r>
      <w:r>
        <w:rPr>
          <w:sz w:val="24"/>
        </w:rPr>
        <w:t>registro en la herramienta DELPHOS.</w:t>
      </w:r>
    </w:p>
    <w:p>
      <w:pPr>
        <w:pStyle w:val="ListParagraph"/>
        <w:numPr>
          <w:ilvl w:val="0"/>
          <w:numId w:val="3"/>
        </w:numPr>
        <w:tabs>
          <w:tab w:pos="885" w:val="left" w:leader="none"/>
        </w:tabs>
        <w:spacing w:line="237" w:lineRule="auto" w:before="3" w:after="0"/>
        <w:ind w:left="885" w:right="603" w:hanging="360"/>
        <w:jc w:val="left"/>
        <w:rPr>
          <w:sz w:val="24"/>
        </w:rPr>
      </w:pPr>
      <w:r>
        <w:rPr>
          <w:b/>
          <w:sz w:val="24"/>
        </w:rPr>
        <w:t>Análisis</w:t>
      </w:r>
      <w:r>
        <w:rPr>
          <w:b/>
          <w:spacing w:val="40"/>
          <w:sz w:val="24"/>
        </w:rPr>
        <w:t> </w:t>
      </w:r>
      <w:r>
        <w:rPr>
          <w:b/>
          <w:sz w:val="24"/>
        </w:rPr>
        <w:t>del</w:t>
      </w:r>
      <w:r>
        <w:rPr>
          <w:b/>
          <w:spacing w:val="40"/>
          <w:sz w:val="24"/>
        </w:rPr>
        <w:t> </w:t>
      </w:r>
      <w:r>
        <w:rPr>
          <w:b/>
          <w:sz w:val="24"/>
        </w:rPr>
        <w:t>logro</w:t>
      </w:r>
      <w:r>
        <w:rPr>
          <w:b/>
          <w:spacing w:val="40"/>
          <w:sz w:val="24"/>
        </w:rPr>
        <w:t> </w:t>
      </w:r>
      <w:r>
        <w:rPr>
          <w:b/>
          <w:sz w:val="24"/>
        </w:rPr>
        <w:t>anual</w:t>
      </w:r>
      <w:r>
        <w:rPr>
          <w:b/>
          <w:spacing w:val="40"/>
          <w:sz w:val="24"/>
        </w:rPr>
        <w:t> </w:t>
      </w:r>
      <w:r>
        <w:rPr>
          <w:b/>
          <w:sz w:val="24"/>
        </w:rPr>
        <w:t>del</w:t>
      </w:r>
      <w:r>
        <w:rPr>
          <w:b/>
          <w:spacing w:val="40"/>
          <w:sz w:val="24"/>
        </w:rPr>
        <w:t> </w:t>
      </w:r>
      <w:r>
        <w:rPr>
          <w:b/>
          <w:sz w:val="24"/>
        </w:rPr>
        <w:t>PEI</w:t>
      </w:r>
      <w:r>
        <w:rPr>
          <w:b/>
          <w:spacing w:val="40"/>
          <w:sz w:val="24"/>
        </w:rPr>
        <w:t> </w:t>
      </w:r>
      <w:r>
        <w:rPr>
          <w:b/>
          <w:sz w:val="24"/>
        </w:rPr>
        <w:t>2023-2028,</w:t>
      </w:r>
      <w:r>
        <w:rPr>
          <w:b/>
          <w:spacing w:val="40"/>
          <w:sz w:val="24"/>
        </w:rPr>
        <w:t> </w:t>
      </w:r>
      <w:r>
        <w:rPr>
          <w:b/>
          <w:sz w:val="24"/>
        </w:rPr>
        <w:t>según</w:t>
      </w:r>
      <w:r>
        <w:rPr>
          <w:b/>
          <w:spacing w:val="40"/>
          <w:sz w:val="24"/>
        </w:rPr>
        <w:t> </w:t>
      </w:r>
      <w:r>
        <w:rPr>
          <w:b/>
          <w:sz w:val="24"/>
        </w:rPr>
        <w:t>Eje</w:t>
      </w:r>
      <w:r>
        <w:rPr>
          <w:b/>
          <w:spacing w:val="40"/>
          <w:sz w:val="24"/>
        </w:rPr>
        <w:t> </w:t>
      </w:r>
      <w:r>
        <w:rPr>
          <w:b/>
          <w:sz w:val="24"/>
        </w:rPr>
        <w:t>Estratégico</w:t>
      </w:r>
      <w:r>
        <w:rPr>
          <w:sz w:val="24"/>
        </w:rPr>
        <w:t>.</w:t>
      </w:r>
      <w:r>
        <w:rPr>
          <w:spacing w:val="40"/>
          <w:sz w:val="24"/>
        </w:rPr>
        <w:t> </w:t>
      </w:r>
      <w:r>
        <w:rPr>
          <w:sz w:val="24"/>
        </w:rPr>
        <w:t>se</w:t>
      </w:r>
      <w:r>
        <w:rPr>
          <w:spacing w:val="40"/>
          <w:sz w:val="24"/>
        </w:rPr>
        <w:t> </w:t>
      </w:r>
      <w:r>
        <w:rPr>
          <w:sz w:val="24"/>
        </w:rPr>
        <w:t>analiza</w:t>
      </w:r>
      <w:r>
        <w:rPr>
          <w:spacing w:val="40"/>
          <w:sz w:val="24"/>
        </w:rPr>
        <w:t> </w:t>
      </w:r>
      <w:r>
        <w:rPr>
          <w:sz w:val="24"/>
        </w:rPr>
        <w:t>el avance de los resultados según Eje Estratégicos.</w:t>
      </w:r>
    </w:p>
    <w:p>
      <w:pPr>
        <w:pStyle w:val="ListParagraph"/>
        <w:numPr>
          <w:ilvl w:val="0"/>
          <w:numId w:val="3"/>
        </w:numPr>
        <w:tabs>
          <w:tab w:pos="885" w:val="left" w:leader="none"/>
        </w:tabs>
        <w:spacing w:line="240" w:lineRule="auto" w:before="1" w:after="0"/>
        <w:ind w:left="885" w:right="604" w:hanging="360"/>
        <w:jc w:val="left"/>
        <w:rPr>
          <w:sz w:val="24"/>
        </w:rPr>
      </w:pPr>
      <w:r>
        <w:rPr>
          <w:b/>
          <w:sz w:val="24"/>
        </w:rPr>
        <w:t>Conclusiones y recomendaciones: </w:t>
      </w:r>
      <w:r>
        <w:rPr>
          <w:sz w:val="24"/>
        </w:rPr>
        <w:t>se ofrecen sugerencias para mejorar el desarrollo y la implementación del plan.</w:t>
      </w:r>
    </w:p>
    <w:p>
      <w:pPr>
        <w:pStyle w:val="BodyText"/>
      </w:pPr>
    </w:p>
    <w:p>
      <w:pPr>
        <w:pStyle w:val="BodyText"/>
        <w:ind w:left="165" w:right="599"/>
        <w:jc w:val="both"/>
      </w:pPr>
      <w:r>
        <w:rPr/>
        <w:t>Con este informe se busca no solo ofrecer una visión clara y objetiva del estado del PEI 2023-2028, sino también contribuir a la toma de decisiones informadas que faciliten el ajuste y mejoramiento de las estrategias empleadas.</w:t>
      </w:r>
    </w:p>
    <w:p>
      <w:pPr>
        <w:pStyle w:val="BodyText"/>
        <w:spacing w:after="0"/>
        <w:jc w:val="both"/>
        <w:sectPr>
          <w:pgSz w:w="13370" w:h="17280"/>
          <w:pgMar w:header="0" w:footer="969" w:top="620" w:bottom="1160" w:left="1275" w:right="992"/>
        </w:sectPr>
      </w:pPr>
    </w:p>
    <w:p>
      <w:pPr>
        <w:pStyle w:val="ListParagraph"/>
        <w:numPr>
          <w:ilvl w:val="0"/>
          <w:numId w:val="2"/>
        </w:numPr>
        <w:tabs>
          <w:tab w:pos="495" w:val="left" w:leader="none"/>
        </w:tabs>
        <w:spacing w:line="240" w:lineRule="auto" w:before="55" w:after="0"/>
        <w:ind w:left="495" w:right="0" w:hanging="330"/>
        <w:jc w:val="left"/>
        <w:rPr>
          <w:rFonts w:ascii="Times New Roman"/>
          <w:b/>
          <w:sz w:val="42"/>
        </w:rPr>
      </w:pPr>
      <w:r>
        <w:rPr>
          <w:rFonts w:ascii="Times New Roman"/>
          <w:b/>
          <w:spacing w:val="-2"/>
          <w:sz w:val="44"/>
        </w:rPr>
        <w:t>METODOLOGIA.</w:t>
      </w:r>
    </w:p>
    <w:p>
      <w:pPr>
        <w:spacing w:line="165" w:lineRule="exact"/>
        <w:ind w:left="165" w:right="0" w:firstLine="0"/>
        <w:rPr>
          <w:rFonts w:ascii="Times New Roman"/>
          <w:position w:val="-2"/>
          <w:sz w:val="16"/>
        </w:rPr>
      </w:pPr>
      <w:r>
        <w:rPr>
          <w:rFonts w:ascii="Times New Roman"/>
          <w:position w:val="-2"/>
          <w:sz w:val="16"/>
        </w:rPr>
        <w:drawing>
          <wp:inline distT="0" distB="0" distL="0" distR="0">
            <wp:extent cx="6448015" cy="104775"/>
            <wp:effectExtent l="0" t="0" r="0" b="0"/>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6448015" cy="104775"/>
                    </a:xfrm>
                    <a:prstGeom prst="rect">
                      <a:avLst/>
                    </a:prstGeom>
                  </pic:spPr>
                </pic:pic>
              </a:graphicData>
            </a:graphic>
          </wp:inline>
        </w:drawing>
      </w:r>
      <w:r>
        <w:rPr>
          <w:rFonts w:ascii="Times New Roman"/>
          <w:position w:val="-2"/>
          <w:sz w:val="16"/>
        </w:rPr>
      </w:r>
    </w:p>
    <w:p>
      <w:pPr>
        <w:pStyle w:val="BodyText"/>
        <w:spacing w:before="343"/>
        <w:ind w:left="165" w:right="603"/>
        <w:jc w:val="both"/>
      </w:pPr>
      <w:r>
        <w:rPr/>
        <w:t>El IMAS para calificar los logros obtenidos en los instrumentos programáticos institucionales según periodo, definió una escala de cumplimiento semestral basándose en los criterios que utiliza MIDEPLAN en el seguimiento del Plan Nacional de Desarrollo e Inversión Pública </w:t>
      </w:r>
      <w:r>
        <w:rPr>
          <w:spacing w:val="-2"/>
        </w:rPr>
        <w:t>(PNDIP).</w:t>
      </w:r>
    </w:p>
    <w:p>
      <w:pPr>
        <w:pStyle w:val="BodyText"/>
      </w:pPr>
    </w:p>
    <w:p>
      <w:pPr>
        <w:pStyle w:val="BodyText"/>
        <w:spacing w:before="1"/>
        <w:ind w:left="165" w:right="605"/>
        <w:jc w:val="both"/>
      </w:pPr>
      <w:r>
        <w:rPr/>
        <w:t>Con base en ello, se programó la herramienta DELPHOS para el seguimiento del I semestre del Plan Estratégico Institucional 2023-2028 (en adelante PEI), para lo cual se debe considera que:</w:t>
      </w:r>
    </w:p>
    <w:p>
      <w:pPr>
        <w:pStyle w:val="BodyText"/>
        <w:spacing w:before="276"/>
        <w:ind w:left="1017" w:right="2068"/>
        <w:jc w:val="both"/>
      </w:pPr>
      <w:r>
        <w:rPr/>
        <w:t>Se está dando seguimiento al I semestre de los resultados activos para el 2024 en el PEI 2023-2028, ya que la programación es anual, por tanto, los resultados</w:t>
      </w:r>
      <w:r>
        <w:rPr>
          <w:spacing w:val="-3"/>
        </w:rPr>
        <w:t> </w:t>
      </w:r>
      <w:r>
        <w:rPr/>
        <w:t>activos</w:t>
      </w:r>
      <w:r>
        <w:rPr>
          <w:spacing w:val="-3"/>
        </w:rPr>
        <w:t> </w:t>
      </w:r>
      <w:r>
        <w:rPr/>
        <w:t>a</w:t>
      </w:r>
      <w:r>
        <w:rPr>
          <w:spacing w:val="-4"/>
        </w:rPr>
        <w:t> </w:t>
      </w:r>
      <w:r>
        <w:rPr/>
        <w:t>este periodo</w:t>
      </w:r>
      <w:r>
        <w:rPr>
          <w:spacing w:val="-1"/>
        </w:rPr>
        <w:t> </w:t>
      </w:r>
      <w:r>
        <w:rPr/>
        <w:t>se</w:t>
      </w:r>
      <w:r>
        <w:rPr>
          <w:spacing w:val="-3"/>
        </w:rPr>
        <w:t> </w:t>
      </w:r>
      <w:r>
        <w:rPr/>
        <w:t>distribuyen</w:t>
      </w:r>
      <w:r>
        <w:rPr>
          <w:spacing w:val="-3"/>
        </w:rPr>
        <w:t> </w:t>
      </w:r>
      <w:r>
        <w:rPr/>
        <w:t>según</w:t>
      </w:r>
      <w:r>
        <w:rPr>
          <w:spacing w:val="-5"/>
        </w:rPr>
        <w:t> </w:t>
      </w:r>
      <w:r>
        <w:rPr/>
        <w:t>logro</w:t>
      </w:r>
      <w:r>
        <w:rPr>
          <w:spacing w:val="-3"/>
        </w:rPr>
        <w:t> </w:t>
      </w:r>
      <w:r>
        <w:rPr/>
        <w:t>con</w:t>
      </w:r>
      <w:r>
        <w:rPr>
          <w:spacing w:val="-5"/>
        </w:rPr>
        <w:t> </w:t>
      </w:r>
      <w:r>
        <w:rPr/>
        <w:t>base</w:t>
      </w:r>
      <w:r>
        <w:rPr>
          <w:spacing w:val="-3"/>
        </w:rPr>
        <w:t> </w:t>
      </w:r>
      <w:r>
        <w:rPr/>
        <w:t>en</w:t>
      </w:r>
      <w:r>
        <w:rPr>
          <w:spacing w:val="-3"/>
        </w:rPr>
        <w:t> </w:t>
      </w:r>
      <w:r>
        <w:rPr/>
        <w:t>la escala que se presenta en el cuadro # 1:</w:t>
      </w:r>
    </w:p>
    <w:p>
      <w:pPr>
        <w:pStyle w:val="BodyText"/>
      </w:pPr>
    </w:p>
    <w:p>
      <w:pPr>
        <w:pStyle w:val="BodyText"/>
      </w:pPr>
    </w:p>
    <w:p>
      <w:pPr>
        <w:pStyle w:val="BodyText"/>
      </w:pPr>
    </w:p>
    <w:p>
      <w:pPr>
        <w:pStyle w:val="Heading5"/>
        <w:ind w:left="160" w:right="593"/>
        <w:jc w:val="center"/>
      </w:pPr>
      <w:r>
        <w:rPr/>
        <w:t>Cuadro</w:t>
      </w:r>
      <w:r>
        <w:rPr>
          <w:spacing w:val="-1"/>
        </w:rPr>
        <w:t> </w:t>
      </w:r>
      <w:r>
        <w:rPr/>
        <w:t># </w:t>
      </w:r>
      <w:r>
        <w:rPr>
          <w:spacing w:val="-5"/>
        </w:rPr>
        <w:t>1.</w:t>
      </w:r>
    </w:p>
    <w:p>
      <w:pPr>
        <w:pStyle w:val="BodyText"/>
        <w:rPr>
          <w:b/>
        </w:rPr>
      </w:pPr>
    </w:p>
    <w:p>
      <w:pPr>
        <w:pStyle w:val="Heading5"/>
        <w:ind w:left="160" w:right="597"/>
        <w:jc w:val="center"/>
      </w:pPr>
      <w:r>
        <w:rPr/>
        <w:t>Criterio</w:t>
      </w:r>
      <w:r>
        <w:rPr>
          <w:spacing w:val="-3"/>
        </w:rPr>
        <w:t> </w:t>
      </w:r>
      <w:r>
        <w:rPr/>
        <w:t>de</w:t>
      </w:r>
      <w:r>
        <w:rPr>
          <w:spacing w:val="-2"/>
        </w:rPr>
        <w:t> </w:t>
      </w:r>
      <w:r>
        <w:rPr/>
        <w:t>cumplimiento</w:t>
      </w:r>
      <w:r>
        <w:rPr>
          <w:spacing w:val="-2"/>
        </w:rPr>
        <w:t> </w:t>
      </w:r>
      <w:r>
        <w:rPr/>
        <w:t>MIDEPLAN</w:t>
      </w:r>
      <w:r>
        <w:rPr>
          <w:spacing w:val="-3"/>
        </w:rPr>
        <w:t> </w:t>
      </w:r>
      <w:r>
        <w:rPr/>
        <w:t>y</w:t>
      </w:r>
      <w:r>
        <w:rPr>
          <w:spacing w:val="-3"/>
        </w:rPr>
        <w:t> </w:t>
      </w:r>
      <w:r>
        <w:rPr/>
        <w:t>escala</w:t>
      </w:r>
      <w:r>
        <w:rPr>
          <w:spacing w:val="3"/>
        </w:rPr>
        <w:t> </w:t>
      </w:r>
      <w:r>
        <w:rPr/>
        <w:t>I</w:t>
      </w:r>
      <w:r>
        <w:rPr>
          <w:spacing w:val="-5"/>
        </w:rPr>
        <w:t> </w:t>
      </w:r>
      <w:r>
        <w:rPr/>
        <w:t>semestre</w:t>
      </w:r>
      <w:r>
        <w:rPr>
          <w:spacing w:val="-2"/>
        </w:rPr>
        <w:t> </w:t>
      </w:r>
      <w:r>
        <w:rPr/>
        <w:t>-</w:t>
      </w:r>
      <w:r>
        <w:rPr>
          <w:spacing w:val="-2"/>
        </w:rPr>
        <w:t>IMAS.</w:t>
      </w:r>
    </w:p>
    <w:p>
      <w:pPr>
        <w:pStyle w:val="BodyText"/>
        <w:rPr>
          <w:b/>
          <w:sz w:val="20"/>
        </w:rPr>
      </w:pPr>
    </w:p>
    <w:p>
      <w:pPr>
        <w:pStyle w:val="BodyText"/>
        <w:spacing w:before="206"/>
        <w:rPr>
          <w:b/>
          <w:sz w:val="20"/>
        </w:rPr>
      </w:pPr>
    </w:p>
    <w:tbl>
      <w:tblPr>
        <w:tblW w:w="0" w:type="auto"/>
        <w:jc w:val="left"/>
        <w:tblInd w:w="2164"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top w:w="0" w:type="dxa"/>
          <w:left w:w="0" w:type="dxa"/>
          <w:bottom w:w="0" w:type="dxa"/>
          <w:right w:w="0" w:type="dxa"/>
        </w:tblCellMar>
        <w:tblLook w:val="01E0"/>
      </w:tblPr>
      <w:tblGrid>
        <w:gridCol w:w="3171"/>
        <w:gridCol w:w="3174"/>
      </w:tblGrid>
      <w:tr>
        <w:trPr>
          <w:trHeight w:val="377" w:hRule="atLeast"/>
        </w:trPr>
        <w:tc>
          <w:tcPr>
            <w:tcW w:w="3171" w:type="dxa"/>
            <w:tcBorders>
              <w:top w:val="nil"/>
              <w:left w:val="nil"/>
              <w:right w:val="nil"/>
            </w:tcBorders>
          </w:tcPr>
          <w:p>
            <w:pPr>
              <w:pStyle w:val="TableParagraph"/>
              <w:spacing w:line="268" w:lineRule="exact"/>
              <w:ind w:left="108"/>
              <w:rPr>
                <w:rFonts w:ascii="Arial"/>
                <w:b/>
                <w:sz w:val="24"/>
              </w:rPr>
            </w:pPr>
            <w:r>
              <w:rPr>
                <w:rFonts w:ascii="Arial"/>
                <w:b/>
                <w:sz w:val="24"/>
              </w:rPr>
              <w:t>Nombre</w:t>
            </w:r>
            <w:r>
              <w:rPr>
                <w:rFonts w:ascii="Arial"/>
                <w:b/>
                <w:spacing w:val="-3"/>
                <w:sz w:val="24"/>
              </w:rPr>
              <w:t> </w:t>
            </w:r>
            <w:r>
              <w:rPr>
                <w:rFonts w:ascii="Arial"/>
                <w:b/>
                <w:sz w:val="24"/>
              </w:rPr>
              <w:t>del</w:t>
            </w:r>
            <w:r>
              <w:rPr>
                <w:rFonts w:ascii="Arial"/>
                <w:b/>
                <w:spacing w:val="-2"/>
                <w:sz w:val="24"/>
              </w:rPr>
              <w:t> estado</w:t>
            </w:r>
          </w:p>
        </w:tc>
        <w:tc>
          <w:tcPr>
            <w:tcW w:w="3174" w:type="dxa"/>
            <w:tcBorders>
              <w:top w:val="nil"/>
              <w:left w:val="nil"/>
              <w:right w:val="nil"/>
            </w:tcBorders>
          </w:tcPr>
          <w:p>
            <w:pPr>
              <w:pStyle w:val="TableParagraph"/>
              <w:spacing w:line="268" w:lineRule="exact"/>
              <w:ind w:left="107"/>
              <w:rPr>
                <w:rFonts w:ascii="Arial"/>
                <w:b/>
                <w:sz w:val="24"/>
              </w:rPr>
            </w:pPr>
            <w:r>
              <w:rPr>
                <w:rFonts w:ascii="Arial"/>
                <w:b/>
                <w:sz w:val="24"/>
              </w:rPr>
              <w:t>Escala</w:t>
            </w:r>
            <w:r>
              <w:rPr>
                <w:rFonts w:ascii="Arial"/>
                <w:b/>
                <w:spacing w:val="-3"/>
                <w:sz w:val="24"/>
              </w:rPr>
              <w:t> </w:t>
            </w:r>
            <w:r>
              <w:rPr>
                <w:rFonts w:ascii="Arial"/>
                <w:b/>
                <w:sz w:val="24"/>
              </w:rPr>
              <w:t>de</w:t>
            </w:r>
            <w:r>
              <w:rPr>
                <w:rFonts w:ascii="Arial"/>
                <w:b/>
                <w:spacing w:val="-2"/>
                <w:sz w:val="24"/>
              </w:rPr>
              <w:t> porcentaje</w:t>
            </w:r>
          </w:p>
        </w:tc>
      </w:tr>
      <w:tr>
        <w:trPr>
          <w:trHeight w:val="553" w:hRule="atLeast"/>
        </w:trPr>
        <w:tc>
          <w:tcPr>
            <w:tcW w:w="3171" w:type="dxa"/>
            <w:tcBorders>
              <w:left w:val="nil"/>
              <w:bottom w:val="single" w:sz="2" w:space="0" w:color="666666"/>
              <w:right w:val="single" w:sz="2" w:space="0" w:color="666666"/>
            </w:tcBorders>
            <w:shd w:val="clear" w:color="auto" w:fill="CCCCCC"/>
          </w:tcPr>
          <w:p>
            <w:pPr>
              <w:pStyle w:val="TableParagraph"/>
              <w:tabs>
                <w:tab w:pos="1146" w:val="left" w:leader="none"/>
                <w:tab w:pos="1664" w:val="left" w:leader="none"/>
              </w:tabs>
              <w:spacing w:line="270" w:lineRule="atLeast"/>
              <w:ind w:left="108" w:right="102"/>
              <w:rPr>
                <w:rFonts w:ascii="Arial" w:hAnsi="Arial"/>
                <w:b/>
                <w:sz w:val="24"/>
              </w:rPr>
            </w:pPr>
            <w:r>
              <w:rPr>
                <w:rFonts w:ascii="Arial" w:hAnsi="Arial"/>
                <w:b/>
                <w:spacing w:val="-2"/>
                <w:sz w:val="24"/>
              </w:rPr>
              <w:t>Según</w:t>
            </w:r>
            <w:r>
              <w:rPr>
                <w:rFonts w:ascii="Arial" w:hAnsi="Arial"/>
                <w:b/>
                <w:sz w:val="24"/>
              </w:rPr>
              <w:tab/>
            </w:r>
            <w:r>
              <w:rPr>
                <w:rFonts w:ascii="Arial" w:hAnsi="Arial"/>
                <w:b/>
                <w:spacing w:val="-6"/>
                <w:sz w:val="24"/>
              </w:rPr>
              <w:t>lo</w:t>
            </w:r>
            <w:r>
              <w:rPr>
                <w:rFonts w:ascii="Arial" w:hAnsi="Arial"/>
                <w:b/>
                <w:sz w:val="24"/>
              </w:rPr>
              <w:tab/>
            </w:r>
            <w:r>
              <w:rPr>
                <w:rFonts w:ascii="Arial" w:hAnsi="Arial"/>
                <w:b/>
                <w:spacing w:val="-2"/>
                <w:sz w:val="24"/>
              </w:rPr>
              <w:t>programado </w:t>
            </w:r>
            <w:r>
              <w:rPr>
                <w:rFonts w:ascii="Arial" w:hAnsi="Arial"/>
                <w:b/>
                <w:spacing w:val="-4"/>
                <w:sz w:val="24"/>
              </w:rPr>
              <w:t>alto</w:t>
            </w:r>
          </w:p>
        </w:tc>
        <w:tc>
          <w:tcPr>
            <w:tcW w:w="3174" w:type="dxa"/>
            <w:tcBorders>
              <w:left w:val="single" w:sz="2" w:space="0" w:color="666666"/>
              <w:bottom w:val="single" w:sz="2" w:space="0" w:color="666666"/>
              <w:right w:val="nil"/>
            </w:tcBorders>
            <w:shd w:val="clear" w:color="auto" w:fill="CCCCCC"/>
          </w:tcPr>
          <w:p>
            <w:pPr>
              <w:pStyle w:val="TableParagraph"/>
              <w:spacing w:before="139"/>
              <w:ind w:left="105"/>
              <w:rPr>
                <w:rFonts w:ascii="Arial"/>
                <w:sz w:val="24"/>
              </w:rPr>
            </w:pPr>
            <w:r>
              <w:rPr>
                <w:rFonts w:ascii="Arial"/>
                <w:sz w:val="24"/>
              </w:rPr>
              <w:t>igual</w:t>
            </w:r>
            <w:r>
              <w:rPr>
                <w:rFonts w:ascii="Arial"/>
                <w:spacing w:val="-3"/>
                <w:sz w:val="24"/>
              </w:rPr>
              <w:t> </w:t>
            </w:r>
            <w:r>
              <w:rPr>
                <w:rFonts w:ascii="Arial"/>
                <w:sz w:val="24"/>
              </w:rPr>
              <w:t>o</w:t>
            </w:r>
            <w:r>
              <w:rPr>
                <w:rFonts w:ascii="Arial"/>
                <w:spacing w:val="-3"/>
                <w:sz w:val="24"/>
              </w:rPr>
              <w:t> </w:t>
            </w:r>
            <w:r>
              <w:rPr>
                <w:rFonts w:ascii="Arial"/>
                <w:sz w:val="24"/>
              </w:rPr>
              <w:t>mayor a</w:t>
            </w:r>
            <w:r>
              <w:rPr>
                <w:rFonts w:ascii="Arial"/>
                <w:spacing w:val="-1"/>
                <w:sz w:val="24"/>
              </w:rPr>
              <w:t> </w:t>
            </w:r>
            <w:r>
              <w:rPr>
                <w:rFonts w:ascii="Arial"/>
                <w:sz w:val="24"/>
              </w:rPr>
              <w:t>45</w:t>
            </w:r>
            <w:r>
              <w:rPr>
                <w:rFonts w:ascii="Arial"/>
                <w:spacing w:val="-1"/>
                <w:sz w:val="24"/>
              </w:rPr>
              <w:t> </w:t>
            </w:r>
            <w:r>
              <w:rPr>
                <w:rFonts w:ascii="Arial"/>
                <w:spacing w:val="-12"/>
                <w:sz w:val="24"/>
              </w:rPr>
              <w:t>%</w:t>
            </w:r>
          </w:p>
        </w:tc>
      </w:tr>
      <w:tr>
        <w:trPr>
          <w:trHeight w:val="551" w:hRule="atLeast"/>
        </w:trPr>
        <w:tc>
          <w:tcPr>
            <w:tcW w:w="3171" w:type="dxa"/>
            <w:tcBorders>
              <w:top w:val="single" w:sz="2" w:space="0" w:color="666666"/>
              <w:left w:val="nil"/>
              <w:bottom w:val="single" w:sz="2" w:space="0" w:color="666666"/>
              <w:right w:val="single" w:sz="2" w:space="0" w:color="666666"/>
            </w:tcBorders>
          </w:tcPr>
          <w:p>
            <w:pPr>
              <w:pStyle w:val="TableParagraph"/>
              <w:tabs>
                <w:tab w:pos="2781" w:val="left" w:leader="none"/>
              </w:tabs>
              <w:ind w:left="108"/>
              <w:rPr>
                <w:rFonts w:ascii="Arial"/>
                <w:b/>
                <w:sz w:val="24"/>
              </w:rPr>
            </w:pPr>
            <w:r>
              <w:rPr>
                <w:rFonts w:ascii="Arial"/>
                <w:b/>
                <w:spacing w:val="-2"/>
                <w:sz w:val="24"/>
              </w:rPr>
              <w:t>Riesgo</w:t>
            </w:r>
            <w:r>
              <w:rPr>
                <w:rFonts w:ascii="Arial"/>
                <w:b/>
                <w:sz w:val="24"/>
              </w:rPr>
              <w:tab/>
            </w:r>
            <w:r>
              <w:rPr>
                <w:rFonts w:ascii="Arial"/>
                <w:b/>
                <w:spacing w:val="-5"/>
                <w:sz w:val="24"/>
              </w:rPr>
              <w:t>de</w:t>
            </w:r>
          </w:p>
          <w:p>
            <w:pPr>
              <w:pStyle w:val="TableParagraph"/>
              <w:spacing w:line="255" w:lineRule="exact"/>
              <w:ind w:left="108"/>
              <w:rPr>
                <w:rFonts w:ascii="Arial"/>
                <w:b/>
                <w:sz w:val="24"/>
              </w:rPr>
            </w:pPr>
            <w:r>
              <w:rPr>
                <w:rFonts w:ascii="Arial"/>
                <w:b/>
                <w:spacing w:val="-2"/>
                <w:sz w:val="24"/>
              </w:rPr>
              <w:t>incumplimiento</w:t>
            </w:r>
          </w:p>
        </w:tc>
        <w:tc>
          <w:tcPr>
            <w:tcW w:w="3174" w:type="dxa"/>
            <w:tcBorders>
              <w:top w:val="single" w:sz="2" w:space="0" w:color="666666"/>
              <w:left w:val="single" w:sz="2" w:space="0" w:color="666666"/>
              <w:bottom w:val="single" w:sz="2" w:space="0" w:color="666666"/>
              <w:right w:val="nil"/>
            </w:tcBorders>
          </w:tcPr>
          <w:p>
            <w:pPr>
              <w:pStyle w:val="TableParagraph"/>
              <w:spacing w:line="270" w:lineRule="atLeast"/>
              <w:ind w:left="105"/>
              <w:rPr>
                <w:rFonts w:ascii="Arial"/>
                <w:sz w:val="24"/>
              </w:rPr>
            </w:pPr>
            <w:r>
              <w:rPr>
                <w:rFonts w:ascii="Arial"/>
                <w:sz w:val="24"/>
              </w:rPr>
              <w:t>igual</w:t>
            </w:r>
            <w:r>
              <w:rPr>
                <w:rFonts w:ascii="Arial"/>
                <w:spacing w:val="40"/>
                <w:sz w:val="24"/>
              </w:rPr>
              <w:t> </w:t>
            </w:r>
            <w:r>
              <w:rPr>
                <w:rFonts w:ascii="Arial"/>
                <w:sz w:val="24"/>
              </w:rPr>
              <w:t>o</w:t>
            </w:r>
            <w:r>
              <w:rPr>
                <w:rFonts w:ascii="Arial"/>
                <w:spacing w:val="40"/>
                <w:sz w:val="24"/>
              </w:rPr>
              <w:t> </w:t>
            </w:r>
            <w:r>
              <w:rPr>
                <w:rFonts w:ascii="Arial"/>
                <w:sz w:val="24"/>
              </w:rPr>
              <w:t>menor</w:t>
            </w:r>
            <w:r>
              <w:rPr>
                <w:rFonts w:ascii="Arial"/>
                <w:spacing w:val="40"/>
                <w:sz w:val="24"/>
              </w:rPr>
              <w:t> </w:t>
            </w:r>
            <w:r>
              <w:rPr>
                <w:rFonts w:ascii="Arial"/>
                <w:sz w:val="24"/>
              </w:rPr>
              <w:t>a</w:t>
            </w:r>
            <w:r>
              <w:rPr>
                <w:rFonts w:ascii="Arial"/>
                <w:spacing w:val="40"/>
                <w:sz w:val="24"/>
              </w:rPr>
              <w:t> </w:t>
            </w:r>
            <w:r>
              <w:rPr>
                <w:rFonts w:ascii="Arial"/>
                <w:sz w:val="24"/>
              </w:rPr>
              <w:t>44.9</w:t>
            </w:r>
            <w:r>
              <w:rPr>
                <w:rFonts w:ascii="Arial"/>
                <w:spacing w:val="40"/>
                <w:sz w:val="24"/>
              </w:rPr>
              <w:t> </w:t>
            </w:r>
            <w:r>
              <w:rPr>
                <w:rFonts w:ascii="Arial"/>
                <w:sz w:val="24"/>
              </w:rPr>
              <w:t>%</w:t>
            </w:r>
            <w:r>
              <w:rPr>
                <w:rFonts w:ascii="Arial"/>
                <w:spacing w:val="40"/>
                <w:sz w:val="24"/>
              </w:rPr>
              <w:t> </w:t>
            </w:r>
            <w:r>
              <w:rPr>
                <w:rFonts w:ascii="Arial"/>
                <w:sz w:val="24"/>
              </w:rPr>
              <w:t>a igual 35%</w:t>
            </w:r>
          </w:p>
        </w:tc>
      </w:tr>
      <w:tr>
        <w:trPr>
          <w:trHeight w:val="508" w:hRule="atLeast"/>
        </w:trPr>
        <w:tc>
          <w:tcPr>
            <w:tcW w:w="3171" w:type="dxa"/>
            <w:tcBorders>
              <w:top w:val="single" w:sz="2" w:space="0" w:color="666666"/>
              <w:left w:val="nil"/>
              <w:bottom w:val="single" w:sz="2" w:space="0" w:color="666666"/>
              <w:right w:val="single" w:sz="2" w:space="0" w:color="666666"/>
            </w:tcBorders>
            <w:shd w:val="clear" w:color="auto" w:fill="CCCCCC"/>
          </w:tcPr>
          <w:p>
            <w:pPr>
              <w:pStyle w:val="TableParagraph"/>
              <w:spacing w:before="115"/>
              <w:ind w:left="108"/>
              <w:rPr>
                <w:rFonts w:ascii="Arial"/>
                <w:b/>
                <w:sz w:val="24"/>
              </w:rPr>
            </w:pPr>
            <w:r>
              <w:rPr>
                <w:rFonts w:ascii="Arial"/>
                <w:b/>
                <w:sz w:val="24"/>
              </w:rPr>
              <w:t>Avance</w:t>
            </w:r>
            <w:r>
              <w:rPr>
                <w:rFonts w:ascii="Arial"/>
                <w:b/>
                <w:spacing w:val="-14"/>
                <w:sz w:val="24"/>
              </w:rPr>
              <w:t> </w:t>
            </w:r>
            <w:r>
              <w:rPr>
                <w:rFonts w:ascii="Arial"/>
                <w:b/>
                <w:spacing w:val="-2"/>
                <w:sz w:val="24"/>
              </w:rPr>
              <w:t>critica</w:t>
            </w:r>
          </w:p>
        </w:tc>
        <w:tc>
          <w:tcPr>
            <w:tcW w:w="3174" w:type="dxa"/>
            <w:tcBorders>
              <w:top w:val="single" w:sz="2" w:space="0" w:color="666666"/>
              <w:left w:val="single" w:sz="2" w:space="0" w:color="666666"/>
              <w:bottom w:val="single" w:sz="2" w:space="0" w:color="666666"/>
              <w:right w:val="nil"/>
            </w:tcBorders>
            <w:shd w:val="clear" w:color="auto" w:fill="CCCCCC"/>
          </w:tcPr>
          <w:p>
            <w:pPr>
              <w:pStyle w:val="TableParagraph"/>
              <w:spacing w:before="115"/>
              <w:ind w:left="105"/>
              <w:rPr>
                <w:rFonts w:ascii="Arial"/>
                <w:sz w:val="24"/>
              </w:rPr>
            </w:pPr>
            <w:r>
              <w:rPr>
                <w:rFonts w:ascii="Arial"/>
                <w:sz w:val="24"/>
              </w:rPr>
              <w:t>igual</w:t>
            </w:r>
            <w:r>
              <w:rPr>
                <w:rFonts w:ascii="Arial"/>
                <w:spacing w:val="-1"/>
                <w:sz w:val="24"/>
              </w:rPr>
              <w:t> </w:t>
            </w:r>
            <w:r>
              <w:rPr>
                <w:rFonts w:ascii="Arial"/>
                <w:sz w:val="24"/>
              </w:rPr>
              <w:t>o</w:t>
            </w:r>
            <w:r>
              <w:rPr>
                <w:rFonts w:ascii="Arial"/>
                <w:spacing w:val="-3"/>
                <w:sz w:val="24"/>
              </w:rPr>
              <w:t> </w:t>
            </w:r>
            <w:r>
              <w:rPr>
                <w:rFonts w:ascii="Arial"/>
                <w:sz w:val="24"/>
              </w:rPr>
              <w:t>menor</w:t>
            </w:r>
            <w:r>
              <w:rPr>
                <w:rFonts w:ascii="Arial"/>
                <w:spacing w:val="-4"/>
                <w:sz w:val="24"/>
              </w:rPr>
              <w:t> </w:t>
            </w:r>
            <w:r>
              <w:rPr>
                <w:rFonts w:ascii="Arial"/>
                <w:sz w:val="24"/>
              </w:rPr>
              <w:t>de</w:t>
            </w:r>
            <w:r>
              <w:rPr>
                <w:rFonts w:ascii="Arial"/>
                <w:spacing w:val="-1"/>
                <w:sz w:val="24"/>
              </w:rPr>
              <w:t> </w:t>
            </w:r>
            <w:r>
              <w:rPr>
                <w:rFonts w:ascii="Arial"/>
                <w:sz w:val="24"/>
              </w:rPr>
              <w:t>34.9</w:t>
            </w:r>
            <w:r>
              <w:rPr>
                <w:rFonts w:ascii="Arial"/>
                <w:spacing w:val="-1"/>
                <w:sz w:val="24"/>
              </w:rPr>
              <w:t> </w:t>
            </w:r>
            <w:r>
              <w:rPr>
                <w:rFonts w:ascii="Arial"/>
                <w:spacing w:val="-10"/>
                <w:sz w:val="24"/>
              </w:rPr>
              <w:t>%</w:t>
            </w:r>
          </w:p>
        </w:tc>
      </w:tr>
    </w:tbl>
    <w:p>
      <w:pPr>
        <w:pStyle w:val="BodyText"/>
        <w:spacing w:before="73"/>
        <w:rPr>
          <w:b/>
          <w:sz w:val="18"/>
        </w:rPr>
      </w:pPr>
    </w:p>
    <w:p>
      <w:pPr>
        <w:spacing w:before="0"/>
        <w:ind w:left="160" w:right="531" w:firstLine="0"/>
        <w:jc w:val="center"/>
        <w:rPr>
          <w:sz w:val="18"/>
        </w:rPr>
      </w:pPr>
      <w:r>
        <w:rPr>
          <w:sz w:val="18"/>
        </w:rPr>
        <w:t>Fuente.</w:t>
      </w:r>
      <w:r>
        <w:rPr>
          <w:spacing w:val="-5"/>
          <w:sz w:val="18"/>
        </w:rPr>
        <w:t> </w:t>
      </w:r>
      <w:r>
        <w:rPr>
          <w:sz w:val="18"/>
        </w:rPr>
        <w:t>Datos</w:t>
      </w:r>
      <w:r>
        <w:rPr>
          <w:spacing w:val="-4"/>
          <w:sz w:val="18"/>
        </w:rPr>
        <w:t> </w:t>
      </w:r>
      <w:r>
        <w:rPr>
          <w:sz w:val="18"/>
        </w:rPr>
        <w:t>Planificación</w:t>
      </w:r>
      <w:r>
        <w:rPr>
          <w:spacing w:val="-4"/>
          <w:sz w:val="18"/>
        </w:rPr>
        <w:t> </w:t>
      </w:r>
      <w:r>
        <w:rPr>
          <w:spacing w:val="-2"/>
          <w:sz w:val="18"/>
        </w:rPr>
        <w:t>Institucional</w:t>
      </w:r>
    </w:p>
    <w:p>
      <w:pPr>
        <w:pStyle w:val="BodyText"/>
        <w:spacing w:before="69"/>
        <w:rPr>
          <w:sz w:val="18"/>
        </w:rPr>
      </w:pPr>
    </w:p>
    <w:p>
      <w:pPr>
        <w:pStyle w:val="BodyText"/>
        <w:spacing w:before="1"/>
        <w:ind w:left="165" w:right="599"/>
        <w:jc w:val="both"/>
      </w:pPr>
      <w:r>
        <w:rPr/>
        <w:t>Con las premisas antes descritas, el presente informe sistematiza el avance del cumplimiento al</w:t>
      </w:r>
      <w:r>
        <w:rPr>
          <w:spacing w:val="80"/>
        </w:rPr>
        <w:t> </w:t>
      </w:r>
      <w:r>
        <w:rPr/>
        <w:t>I</w:t>
      </w:r>
      <w:r>
        <w:rPr>
          <w:spacing w:val="-1"/>
        </w:rPr>
        <w:t> </w:t>
      </w:r>
      <w:r>
        <w:rPr/>
        <w:t>semestre</w:t>
      </w:r>
      <w:r>
        <w:rPr>
          <w:spacing w:val="-1"/>
        </w:rPr>
        <w:t> </w:t>
      </w:r>
      <w:r>
        <w:rPr/>
        <w:t>2024</w:t>
      </w:r>
      <w:r>
        <w:rPr>
          <w:spacing w:val="-1"/>
        </w:rPr>
        <w:t> </w:t>
      </w:r>
      <w:r>
        <w:rPr/>
        <w:t>del</w:t>
      </w:r>
      <w:r>
        <w:rPr>
          <w:spacing w:val="-2"/>
        </w:rPr>
        <w:t> </w:t>
      </w:r>
      <w:r>
        <w:rPr/>
        <w:t>PEI,</w:t>
      </w:r>
      <w:r>
        <w:rPr>
          <w:spacing w:val="-2"/>
        </w:rPr>
        <w:t> </w:t>
      </w:r>
      <w:r>
        <w:rPr/>
        <w:t>registrados</w:t>
      </w:r>
      <w:r>
        <w:rPr>
          <w:spacing w:val="-2"/>
        </w:rPr>
        <w:t> </w:t>
      </w:r>
      <w:r>
        <w:rPr/>
        <w:t>por</w:t>
      </w:r>
      <w:r>
        <w:rPr>
          <w:spacing w:val="-2"/>
        </w:rPr>
        <w:t> </w:t>
      </w:r>
      <w:r>
        <w:rPr/>
        <w:t>cada</w:t>
      </w:r>
      <w:r>
        <w:rPr>
          <w:spacing w:val="-2"/>
        </w:rPr>
        <w:t> </w:t>
      </w:r>
      <w:r>
        <w:rPr/>
        <w:t>unidad</w:t>
      </w:r>
      <w:r>
        <w:rPr>
          <w:spacing w:val="-2"/>
        </w:rPr>
        <w:t> </w:t>
      </w:r>
      <w:r>
        <w:rPr/>
        <w:t>administrativa</w:t>
      </w:r>
      <w:r>
        <w:rPr>
          <w:spacing w:val="-2"/>
        </w:rPr>
        <w:t> </w:t>
      </w:r>
      <w:r>
        <w:rPr/>
        <w:t>institucional en</w:t>
      </w:r>
      <w:r>
        <w:rPr>
          <w:spacing w:val="-2"/>
        </w:rPr>
        <w:t> </w:t>
      </w:r>
      <w:r>
        <w:rPr/>
        <w:t>los</w:t>
      </w:r>
      <w:r>
        <w:rPr>
          <w:spacing w:val="-2"/>
        </w:rPr>
        <w:t> </w:t>
      </w:r>
      <w:r>
        <w:rPr/>
        <w:t>ejercicios de seguimiento del POI-POGE 2024, el cual está vinculado al PEI 2023-2028, por medio de una interfaz en la herramienta DELPHOS, de acuerdo con lo dictado en la directriz IMAS-GG 1943-2024: “Sobre el seguimiento y evaluación de actividades del Plan Estratégico Institucional 2023-2028”, en su ítem sexto a:</w:t>
      </w:r>
    </w:p>
    <w:p>
      <w:pPr>
        <w:pStyle w:val="BodyText"/>
      </w:pPr>
    </w:p>
    <w:p>
      <w:pPr>
        <w:pStyle w:val="BodyText"/>
        <w:ind w:left="1017" w:right="1451"/>
        <w:jc w:val="both"/>
      </w:pPr>
      <w:r>
        <w:rPr/>
        <w:t>“Que el Plan Estratégico Institucional PEI 2023-2028, como instrumento de mediano plazo del sistema de Planificación Institucional, se operacionaliza por medio del Plan Operativo Institucional (POI) y el Plan Operativo Gerencial (POGE), en los cuales se plasman las actividades con metas físicas y </w:t>
      </w:r>
      <w:r>
        <w:rPr>
          <w:spacing w:val="-2"/>
        </w:rPr>
        <w:t>presupuestarias”.</w:t>
      </w:r>
    </w:p>
    <w:p>
      <w:pPr>
        <w:pStyle w:val="BodyText"/>
        <w:spacing w:after="0"/>
        <w:jc w:val="both"/>
        <w:sectPr>
          <w:pgSz w:w="13370" w:h="17280"/>
          <w:pgMar w:header="0" w:footer="969" w:top="820" w:bottom="1160" w:left="1275" w:right="992"/>
        </w:sectPr>
      </w:pPr>
    </w:p>
    <w:p>
      <w:pPr>
        <w:pStyle w:val="Heading1"/>
        <w:numPr>
          <w:ilvl w:val="0"/>
          <w:numId w:val="2"/>
        </w:numPr>
        <w:tabs>
          <w:tab w:pos="550" w:val="left" w:leader="none"/>
        </w:tabs>
        <w:spacing w:line="240" w:lineRule="auto" w:before="63" w:after="0"/>
        <w:ind w:left="550" w:right="0" w:hanging="330"/>
        <w:jc w:val="left"/>
        <w:rPr>
          <w:sz w:val="42"/>
        </w:rPr>
      </w:pPr>
      <w:r>
        <w:rPr>
          <w:sz w:val="42"/>
        </w:rPr>
        <w:drawing>
          <wp:anchor distT="0" distB="0" distL="0" distR="0" allowOverlap="1" layoutInCell="1" locked="0" behindDoc="1" simplePos="0" relativeHeight="486286336">
            <wp:simplePos x="0" y="0"/>
            <wp:positionH relativeFrom="page">
              <wp:posOffset>1191265</wp:posOffset>
            </wp:positionH>
            <wp:positionV relativeFrom="page">
              <wp:posOffset>4279280</wp:posOffset>
            </wp:positionV>
            <wp:extent cx="6114430" cy="300990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6114430" cy="3009900"/>
                    </a:xfrm>
                    <a:prstGeom prst="rect">
                      <a:avLst/>
                    </a:prstGeom>
                  </pic:spPr>
                </pic:pic>
              </a:graphicData>
            </a:graphic>
          </wp:anchor>
        </w:drawing>
      </w:r>
      <w:bookmarkStart w:name="_TOC_250002" w:id="3"/>
      <w:r>
        <w:rPr/>
        <w:t>PRESENTACIÓN</w:t>
      </w:r>
      <w:r>
        <w:rPr>
          <w:spacing w:val="-17"/>
        </w:rPr>
        <w:t> </w:t>
      </w:r>
      <w:r>
        <w:rPr/>
        <w:t>DE</w:t>
      </w:r>
      <w:r>
        <w:rPr>
          <w:spacing w:val="-13"/>
        </w:rPr>
        <w:t> </w:t>
      </w:r>
      <w:r>
        <w:rPr/>
        <w:t>DATOS</w:t>
      </w:r>
      <w:r>
        <w:rPr>
          <w:spacing w:val="-17"/>
        </w:rPr>
        <w:t> </w:t>
      </w:r>
      <w:r>
        <w:rPr/>
        <w:t>Y</w:t>
      </w:r>
      <w:r>
        <w:rPr>
          <w:spacing w:val="-16"/>
        </w:rPr>
        <w:t> </w:t>
      </w:r>
      <w:bookmarkEnd w:id="3"/>
      <w:r>
        <w:rPr>
          <w:spacing w:val="-2"/>
        </w:rPr>
        <w:t>ANÁLISIS</w:t>
      </w:r>
    </w:p>
    <w:p>
      <w:pPr>
        <w:pStyle w:val="BodyText"/>
        <w:spacing w:before="6"/>
        <w:rPr>
          <w:rFonts w:ascii="Times New Roman"/>
          <w:b/>
          <w:sz w:val="18"/>
        </w:rPr>
      </w:pPr>
      <w:r>
        <w:rPr>
          <w:rFonts w:ascii="Times New Roman"/>
          <w:b/>
          <w:sz w:val="18"/>
        </w:rPr>
        <w:drawing>
          <wp:anchor distT="0" distB="0" distL="0" distR="0" allowOverlap="1" layoutInCell="1" locked="0" behindDoc="1" simplePos="0" relativeHeight="487588864">
            <wp:simplePos x="0" y="0"/>
            <wp:positionH relativeFrom="page">
              <wp:posOffset>914400</wp:posOffset>
            </wp:positionH>
            <wp:positionV relativeFrom="paragraph">
              <wp:posOffset>150522</wp:posOffset>
            </wp:positionV>
            <wp:extent cx="6616077" cy="116681"/>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1" cstate="print"/>
                    <a:stretch>
                      <a:fillRect/>
                    </a:stretch>
                  </pic:blipFill>
                  <pic:spPr>
                    <a:xfrm>
                      <a:off x="0" y="0"/>
                      <a:ext cx="6616077" cy="116681"/>
                    </a:xfrm>
                    <a:prstGeom prst="rect">
                      <a:avLst/>
                    </a:prstGeom>
                  </pic:spPr>
                </pic:pic>
              </a:graphicData>
            </a:graphic>
          </wp:anchor>
        </w:drawing>
      </w:r>
    </w:p>
    <w:p>
      <w:pPr>
        <w:spacing w:before="241"/>
        <w:ind w:left="268" w:right="0" w:firstLine="0"/>
        <w:jc w:val="left"/>
        <w:rPr>
          <w:rFonts w:ascii="Times New Roman" w:hAnsi="Times New Roman"/>
          <w:sz w:val="19"/>
        </w:rPr>
      </w:pPr>
      <w:r>
        <w:rPr>
          <w:rFonts w:ascii="Times New Roman" w:hAnsi="Times New Roman"/>
          <w:sz w:val="19"/>
        </w:rPr>
        <w:t>Con</w:t>
      </w:r>
      <w:r>
        <w:rPr>
          <w:rFonts w:ascii="Times New Roman" w:hAnsi="Times New Roman"/>
          <w:spacing w:val="-1"/>
          <w:sz w:val="19"/>
        </w:rPr>
        <w:t> </w:t>
      </w:r>
      <w:r>
        <w:rPr>
          <w:rFonts w:ascii="Times New Roman" w:hAnsi="Times New Roman"/>
          <w:sz w:val="19"/>
        </w:rPr>
        <w:t>el</w:t>
      </w:r>
      <w:r>
        <w:rPr>
          <w:rFonts w:ascii="Times New Roman" w:hAnsi="Times New Roman"/>
          <w:spacing w:val="-4"/>
          <w:sz w:val="19"/>
        </w:rPr>
        <w:t> </w:t>
      </w:r>
      <w:r>
        <w:rPr>
          <w:rFonts w:ascii="Times New Roman" w:hAnsi="Times New Roman"/>
          <w:sz w:val="19"/>
        </w:rPr>
        <w:t>propósito</w:t>
      </w:r>
      <w:r>
        <w:rPr>
          <w:rFonts w:ascii="Times New Roman" w:hAnsi="Times New Roman"/>
          <w:spacing w:val="-3"/>
          <w:sz w:val="19"/>
        </w:rPr>
        <w:t> </w:t>
      </w:r>
      <w:r>
        <w:rPr>
          <w:rFonts w:ascii="Times New Roman" w:hAnsi="Times New Roman"/>
          <w:sz w:val="19"/>
        </w:rPr>
        <w:t>de</w:t>
      </w:r>
      <w:r>
        <w:rPr>
          <w:rFonts w:ascii="Times New Roman" w:hAnsi="Times New Roman"/>
          <w:spacing w:val="-3"/>
          <w:sz w:val="19"/>
        </w:rPr>
        <w:t> </w:t>
      </w:r>
      <w:r>
        <w:rPr>
          <w:rFonts w:ascii="Times New Roman" w:hAnsi="Times New Roman"/>
          <w:sz w:val="19"/>
        </w:rPr>
        <w:t>presentar</w:t>
      </w:r>
      <w:r>
        <w:rPr>
          <w:rFonts w:ascii="Times New Roman" w:hAnsi="Times New Roman"/>
          <w:spacing w:val="-3"/>
          <w:sz w:val="19"/>
        </w:rPr>
        <w:t> </w:t>
      </w:r>
      <w:r>
        <w:rPr>
          <w:rFonts w:ascii="Times New Roman" w:hAnsi="Times New Roman"/>
          <w:sz w:val="19"/>
        </w:rPr>
        <w:t>un</w:t>
      </w:r>
      <w:r>
        <w:rPr>
          <w:rFonts w:ascii="Times New Roman" w:hAnsi="Times New Roman"/>
          <w:spacing w:val="-1"/>
          <w:sz w:val="19"/>
        </w:rPr>
        <w:t> </w:t>
      </w:r>
      <w:r>
        <w:rPr>
          <w:rFonts w:ascii="Times New Roman" w:hAnsi="Times New Roman"/>
          <w:sz w:val="19"/>
        </w:rPr>
        <w:t>informe</w:t>
      </w:r>
      <w:r>
        <w:rPr>
          <w:rFonts w:ascii="Times New Roman" w:hAnsi="Times New Roman"/>
          <w:spacing w:val="-3"/>
          <w:sz w:val="19"/>
        </w:rPr>
        <w:t> </w:t>
      </w:r>
      <w:r>
        <w:rPr>
          <w:rFonts w:ascii="Times New Roman" w:hAnsi="Times New Roman"/>
          <w:sz w:val="19"/>
        </w:rPr>
        <w:t>que</w:t>
      </w:r>
      <w:r>
        <w:rPr>
          <w:rFonts w:ascii="Times New Roman" w:hAnsi="Times New Roman"/>
          <w:spacing w:val="-3"/>
          <w:sz w:val="19"/>
        </w:rPr>
        <w:t> </w:t>
      </w:r>
      <w:r>
        <w:rPr>
          <w:rFonts w:ascii="Times New Roman" w:hAnsi="Times New Roman"/>
          <w:sz w:val="19"/>
        </w:rPr>
        <w:t>atienda</w:t>
      </w:r>
      <w:r>
        <w:rPr>
          <w:rFonts w:ascii="Times New Roman" w:hAnsi="Times New Roman"/>
          <w:spacing w:val="-3"/>
          <w:sz w:val="19"/>
        </w:rPr>
        <w:t> </w:t>
      </w:r>
      <w:r>
        <w:rPr>
          <w:rFonts w:ascii="Times New Roman" w:hAnsi="Times New Roman"/>
          <w:sz w:val="19"/>
        </w:rPr>
        <w:t>en</w:t>
      </w:r>
      <w:r>
        <w:rPr>
          <w:rFonts w:ascii="Times New Roman" w:hAnsi="Times New Roman"/>
          <w:spacing w:val="-1"/>
          <w:sz w:val="19"/>
        </w:rPr>
        <w:t> </w:t>
      </w:r>
      <w:r>
        <w:rPr>
          <w:rFonts w:ascii="Times New Roman" w:hAnsi="Times New Roman"/>
          <w:sz w:val="19"/>
        </w:rPr>
        <w:t>forma</w:t>
      </w:r>
      <w:r>
        <w:rPr>
          <w:rFonts w:ascii="Times New Roman" w:hAnsi="Times New Roman"/>
          <w:spacing w:val="-3"/>
          <w:sz w:val="19"/>
        </w:rPr>
        <w:t> </w:t>
      </w:r>
      <w:r>
        <w:rPr>
          <w:rFonts w:ascii="Times New Roman" w:hAnsi="Times New Roman"/>
          <w:sz w:val="19"/>
        </w:rPr>
        <w:t>apropiada</w:t>
      </w:r>
      <w:r>
        <w:rPr>
          <w:rFonts w:ascii="Times New Roman" w:hAnsi="Times New Roman"/>
          <w:spacing w:val="-3"/>
          <w:sz w:val="19"/>
        </w:rPr>
        <w:t> </w:t>
      </w:r>
      <w:r>
        <w:rPr>
          <w:rFonts w:ascii="Times New Roman" w:hAnsi="Times New Roman"/>
          <w:sz w:val="19"/>
        </w:rPr>
        <w:t>los</w:t>
      </w:r>
      <w:r>
        <w:rPr>
          <w:rFonts w:ascii="Times New Roman" w:hAnsi="Times New Roman"/>
          <w:spacing w:val="-2"/>
          <w:sz w:val="19"/>
        </w:rPr>
        <w:t> </w:t>
      </w:r>
      <w:r>
        <w:rPr>
          <w:rFonts w:ascii="Times New Roman" w:hAnsi="Times New Roman"/>
          <w:sz w:val="19"/>
        </w:rPr>
        <w:t>requerimientos</w:t>
      </w:r>
      <w:r>
        <w:rPr>
          <w:rFonts w:ascii="Times New Roman" w:hAnsi="Times New Roman"/>
          <w:spacing w:val="-2"/>
          <w:sz w:val="19"/>
        </w:rPr>
        <w:t> </w:t>
      </w:r>
      <w:r>
        <w:rPr>
          <w:rFonts w:ascii="Times New Roman" w:hAnsi="Times New Roman"/>
          <w:sz w:val="19"/>
        </w:rPr>
        <w:t>sobre</w:t>
      </w:r>
      <w:r>
        <w:rPr>
          <w:rFonts w:ascii="Times New Roman" w:hAnsi="Times New Roman"/>
          <w:spacing w:val="-3"/>
          <w:sz w:val="19"/>
        </w:rPr>
        <w:t> </w:t>
      </w:r>
      <w:r>
        <w:rPr>
          <w:rFonts w:ascii="Times New Roman" w:hAnsi="Times New Roman"/>
          <w:sz w:val="19"/>
        </w:rPr>
        <w:t>el</w:t>
      </w:r>
      <w:r>
        <w:rPr>
          <w:rFonts w:ascii="Times New Roman" w:hAnsi="Times New Roman"/>
          <w:spacing w:val="-2"/>
          <w:sz w:val="19"/>
        </w:rPr>
        <w:t> </w:t>
      </w:r>
      <w:r>
        <w:rPr>
          <w:rFonts w:ascii="Times New Roman" w:hAnsi="Times New Roman"/>
          <w:sz w:val="19"/>
        </w:rPr>
        <w:t>tema,</w:t>
      </w:r>
      <w:r>
        <w:rPr>
          <w:rFonts w:ascii="Times New Roman" w:hAnsi="Times New Roman"/>
          <w:spacing w:val="-2"/>
          <w:sz w:val="19"/>
        </w:rPr>
        <w:t> </w:t>
      </w:r>
      <w:r>
        <w:rPr>
          <w:rFonts w:ascii="Times New Roman" w:hAnsi="Times New Roman"/>
          <w:sz w:val="19"/>
        </w:rPr>
        <w:t>este</w:t>
      </w:r>
      <w:r>
        <w:rPr>
          <w:rFonts w:ascii="Times New Roman" w:hAnsi="Times New Roman"/>
          <w:spacing w:val="-2"/>
          <w:sz w:val="19"/>
        </w:rPr>
        <w:t> </w:t>
      </w:r>
      <w:r>
        <w:rPr>
          <w:rFonts w:ascii="Times New Roman" w:hAnsi="Times New Roman"/>
          <w:sz w:val="19"/>
        </w:rPr>
        <w:t>análisis</w:t>
      </w:r>
      <w:r>
        <w:rPr>
          <w:rFonts w:ascii="Times New Roman" w:hAnsi="Times New Roman"/>
          <w:spacing w:val="-2"/>
          <w:sz w:val="19"/>
        </w:rPr>
        <w:t> </w:t>
      </w:r>
      <w:r>
        <w:rPr>
          <w:rFonts w:ascii="Times New Roman" w:hAnsi="Times New Roman"/>
          <w:sz w:val="19"/>
        </w:rPr>
        <w:t>considera</w:t>
      </w:r>
      <w:r>
        <w:rPr>
          <w:rFonts w:ascii="Times New Roman" w:hAnsi="Times New Roman"/>
          <w:spacing w:val="-3"/>
          <w:sz w:val="19"/>
        </w:rPr>
        <w:t> </w:t>
      </w:r>
      <w:r>
        <w:rPr>
          <w:rFonts w:ascii="Times New Roman" w:hAnsi="Times New Roman"/>
          <w:sz w:val="19"/>
        </w:rPr>
        <w:t>los principales resultados, que evidencian el cumplimiento del PEI 2023 - 2028.</w:t>
      </w:r>
    </w:p>
    <w:p>
      <w:pPr>
        <w:pStyle w:val="Heading5"/>
        <w:spacing w:before="191"/>
        <w:ind w:left="208"/>
        <w:rPr>
          <w:rFonts w:ascii="Times New Roman"/>
        </w:rPr>
      </w:pPr>
      <w:r>
        <w:rPr>
          <w:rFonts w:ascii="Times New Roman"/>
        </w:rPr>
        <w:t>Reporte</w:t>
      </w:r>
      <w:r>
        <w:rPr>
          <w:rFonts w:ascii="Times New Roman"/>
          <w:spacing w:val="-4"/>
        </w:rPr>
        <w:t> </w:t>
      </w:r>
      <w:r>
        <w:rPr>
          <w:rFonts w:ascii="Times New Roman"/>
        </w:rPr>
        <w:t>de cumplimiento</w:t>
      </w:r>
      <w:r>
        <w:rPr>
          <w:rFonts w:ascii="Times New Roman"/>
          <w:spacing w:val="-2"/>
        </w:rPr>
        <w:t> </w:t>
      </w:r>
      <w:r>
        <w:rPr>
          <w:rFonts w:ascii="Times New Roman"/>
        </w:rPr>
        <w:t>de</w:t>
      </w:r>
      <w:r>
        <w:rPr>
          <w:rFonts w:ascii="Times New Roman"/>
          <w:spacing w:val="-1"/>
        </w:rPr>
        <w:t> </w:t>
      </w:r>
      <w:r>
        <w:rPr>
          <w:rFonts w:ascii="Times New Roman"/>
        </w:rPr>
        <w:t>las</w:t>
      </w:r>
      <w:r>
        <w:rPr>
          <w:rFonts w:ascii="Times New Roman"/>
          <w:spacing w:val="-2"/>
        </w:rPr>
        <w:t> </w:t>
      </w:r>
      <w:r>
        <w:rPr>
          <w:rFonts w:ascii="Times New Roman"/>
        </w:rPr>
        <w:t>metas</w:t>
      </w:r>
      <w:r>
        <w:rPr>
          <w:rFonts w:ascii="Times New Roman"/>
          <w:spacing w:val="-3"/>
        </w:rPr>
        <w:t> </w:t>
      </w:r>
      <w:r>
        <w:rPr>
          <w:rFonts w:ascii="Times New Roman"/>
        </w:rPr>
        <w:t>del</w:t>
      </w:r>
      <w:r>
        <w:rPr>
          <w:rFonts w:ascii="Times New Roman"/>
          <w:spacing w:val="-1"/>
        </w:rPr>
        <w:t> </w:t>
      </w:r>
      <w:r>
        <w:rPr>
          <w:rFonts w:ascii="Times New Roman"/>
        </w:rPr>
        <w:t>PEI</w:t>
      </w:r>
      <w:r>
        <w:rPr>
          <w:rFonts w:ascii="Times New Roman"/>
          <w:spacing w:val="-4"/>
        </w:rPr>
        <w:t> </w:t>
      </w:r>
      <w:r>
        <w:rPr>
          <w:rFonts w:ascii="Times New Roman"/>
        </w:rPr>
        <w:t>2023</w:t>
      </w:r>
      <w:r>
        <w:rPr>
          <w:rFonts w:ascii="Times New Roman"/>
          <w:spacing w:val="2"/>
        </w:rPr>
        <w:t> </w:t>
      </w:r>
      <w:r>
        <w:rPr>
          <w:rFonts w:ascii="Times New Roman"/>
        </w:rPr>
        <w:t>-</w:t>
      </w:r>
      <w:r>
        <w:rPr>
          <w:rFonts w:ascii="Times New Roman"/>
          <w:spacing w:val="-2"/>
        </w:rPr>
        <w:t> </w:t>
      </w:r>
      <w:r>
        <w:rPr>
          <w:rFonts w:ascii="Times New Roman"/>
          <w:spacing w:val="-4"/>
        </w:rPr>
        <w:t>2028</w:t>
      </w:r>
    </w:p>
    <w:p>
      <w:pPr>
        <w:pStyle w:val="BodyText"/>
        <w:spacing w:before="20"/>
        <w:rPr>
          <w:rFonts w:ascii="Times New Roman"/>
          <w:b/>
        </w:rPr>
      </w:pPr>
    </w:p>
    <w:p>
      <w:pPr>
        <w:spacing w:before="0"/>
        <w:ind w:left="208" w:right="0" w:firstLine="0"/>
        <w:jc w:val="left"/>
        <w:rPr>
          <w:rFonts w:ascii="Times New Roman" w:hAnsi="Times New Roman"/>
          <w:sz w:val="19"/>
        </w:rPr>
      </w:pPr>
      <w:r>
        <w:rPr>
          <w:rFonts w:ascii="Times New Roman" w:hAnsi="Times New Roman"/>
          <w:sz w:val="19"/>
        </w:rPr>
        <w:t>Se</w:t>
      </w:r>
      <w:r>
        <w:rPr>
          <w:rFonts w:ascii="Times New Roman" w:hAnsi="Times New Roman"/>
          <w:spacing w:val="-6"/>
          <w:sz w:val="19"/>
        </w:rPr>
        <w:t> </w:t>
      </w:r>
      <w:r>
        <w:rPr>
          <w:rFonts w:ascii="Times New Roman" w:hAnsi="Times New Roman"/>
          <w:sz w:val="19"/>
        </w:rPr>
        <w:t>muestra</w:t>
      </w:r>
      <w:r>
        <w:rPr>
          <w:rFonts w:ascii="Times New Roman" w:hAnsi="Times New Roman"/>
          <w:spacing w:val="-7"/>
          <w:sz w:val="19"/>
        </w:rPr>
        <w:t> </w:t>
      </w:r>
      <w:r>
        <w:rPr>
          <w:rFonts w:ascii="Times New Roman" w:hAnsi="Times New Roman"/>
          <w:sz w:val="19"/>
        </w:rPr>
        <w:t>el</w:t>
      </w:r>
      <w:r>
        <w:rPr>
          <w:rFonts w:ascii="Times New Roman" w:hAnsi="Times New Roman"/>
          <w:spacing w:val="-5"/>
          <w:sz w:val="19"/>
        </w:rPr>
        <w:t> </w:t>
      </w:r>
      <w:r>
        <w:rPr>
          <w:rFonts w:ascii="Times New Roman" w:hAnsi="Times New Roman"/>
          <w:sz w:val="19"/>
        </w:rPr>
        <w:t>cumplimiento</w:t>
      </w:r>
      <w:r>
        <w:rPr>
          <w:rFonts w:ascii="Times New Roman" w:hAnsi="Times New Roman"/>
          <w:spacing w:val="-5"/>
          <w:sz w:val="19"/>
        </w:rPr>
        <w:t> </w:t>
      </w:r>
      <w:r>
        <w:rPr>
          <w:rFonts w:ascii="Times New Roman" w:hAnsi="Times New Roman"/>
          <w:sz w:val="19"/>
        </w:rPr>
        <w:t>global</w:t>
      </w:r>
      <w:r>
        <w:rPr>
          <w:rFonts w:ascii="Times New Roman" w:hAnsi="Times New Roman"/>
          <w:spacing w:val="-7"/>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6"/>
          <w:sz w:val="19"/>
        </w:rPr>
        <w:t> </w:t>
      </w:r>
      <w:r>
        <w:rPr>
          <w:rFonts w:ascii="Times New Roman" w:hAnsi="Times New Roman"/>
          <w:sz w:val="19"/>
        </w:rPr>
        <w:t>contenidas</w:t>
      </w:r>
      <w:r>
        <w:rPr>
          <w:rFonts w:ascii="Times New Roman" w:hAnsi="Times New Roman"/>
          <w:spacing w:val="-6"/>
          <w:sz w:val="19"/>
        </w:rPr>
        <w:t> </w:t>
      </w:r>
      <w:r>
        <w:rPr>
          <w:rFonts w:ascii="Times New Roman" w:hAnsi="Times New Roman"/>
          <w:sz w:val="19"/>
        </w:rPr>
        <w:t>en</w:t>
      </w:r>
      <w:r>
        <w:rPr>
          <w:rFonts w:ascii="Times New Roman" w:hAnsi="Times New Roman"/>
          <w:spacing w:val="-4"/>
          <w:sz w:val="19"/>
        </w:rPr>
        <w:t> </w:t>
      </w:r>
      <w:r>
        <w:rPr>
          <w:rFonts w:ascii="Times New Roman" w:hAnsi="Times New Roman"/>
          <w:sz w:val="19"/>
        </w:rPr>
        <w:t>el</w:t>
      </w:r>
      <w:r>
        <w:rPr>
          <w:rFonts w:ascii="Times New Roman" w:hAnsi="Times New Roman"/>
          <w:spacing w:val="-6"/>
          <w:sz w:val="19"/>
        </w:rPr>
        <w:t> </w:t>
      </w:r>
      <w:r>
        <w:rPr>
          <w:rFonts w:ascii="Times New Roman" w:hAnsi="Times New Roman"/>
          <w:sz w:val="19"/>
        </w:rPr>
        <w:t>PEI</w:t>
      </w:r>
      <w:r>
        <w:rPr>
          <w:rFonts w:ascii="Times New Roman" w:hAnsi="Times New Roman"/>
          <w:spacing w:val="-7"/>
          <w:sz w:val="19"/>
        </w:rPr>
        <w:t> </w:t>
      </w:r>
      <w:r>
        <w:rPr>
          <w:rFonts w:ascii="Times New Roman" w:hAnsi="Times New Roman"/>
          <w:sz w:val="19"/>
        </w:rPr>
        <w:t>2023 -</w:t>
      </w:r>
      <w:r>
        <w:rPr>
          <w:rFonts w:ascii="Times New Roman" w:hAnsi="Times New Roman"/>
          <w:spacing w:val="-7"/>
          <w:sz w:val="19"/>
        </w:rPr>
        <w:t> </w:t>
      </w:r>
      <w:r>
        <w:rPr>
          <w:rFonts w:ascii="Times New Roman" w:hAnsi="Times New Roman"/>
          <w:sz w:val="19"/>
        </w:rPr>
        <w:t>2028</w:t>
      </w:r>
      <w:r>
        <w:rPr>
          <w:rFonts w:ascii="Times New Roman" w:hAnsi="Times New Roman"/>
          <w:spacing w:val="-4"/>
          <w:sz w:val="19"/>
        </w:rPr>
        <w:t> </w:t>
      </w:r>
      <w:r>
        <w:rPr>
          <w:rFonts w:ascii="Times New Roman" w:hAnsi="Times New Roman"/>
          <w:sz w:val="19"/>
        </w:rPr>
        <w:t>según</w:t>
      </w:r>
      <w:r>
        <w:rPr>
          <w:rFonts w:ascii="Times New Roman" w:hAnsi="Times New Roman"/>
          <w:spacing w:val="-5"/>
          <w:sz w:val="19"/>
        </w:rPr>
        <w:t> </w:t>
      </w:r>
      <w:r>
        <w:rPr>
          <w:rFonts w:ascii="Times New Roman" w:hAnsi="Times New Roman"/>
          <w:sz w:val="19"/>
        </w:rPr>
        <w:t>categoría</w:t>
      </w:r>
      <w:r>
        <w:rPr>
          <w:rFonts w:ascii="Times New Roman" w:hAnsi="Times New Roman"/>
          <w:spacing w:val="-7"/>
          <w:sz w:val="19"/>
        </w:rPr>
        <w:t> </w:t>
      </w:r>
      <w:r>
        <w:rPr>
          <w:rFonts w:ascii="Times New Roman" w:hAnsi="Times New Roman"/>
          <w:sz w:val="19"/>
        </w:rPr>
        <w:t>de</w:t>
      </w:r>
      <w:r>
        <w:rPr>
          <w:rFonts w:ascii="Times New Roman" w:hAnsi="Times New Roman"/>
          <w:spacing w:val="-6"/>
          <w:sz w:val="19"/>
        </w:rPr>
        <w:t> </w:t>
      </w:r>
      <w:r>
        <w:rPr>
          <w:rFonts w:ascii="Times New Roman" w:hAnsi="Times New Roman"/>
          <w:sz w:val="19"/>
        </w:rPr>
        <w:t>cumplimiento,</w:t>
      </w:r>
      <w:r>
        <w:rPr>
          <w:rFonts w:ascii="Times New Roman" w:hAnsi="Times New Roman"/>
          <w:spacing w:val="-6"/>
          <w:sz w:val="19"/>
        </w:rPr>
        <w:t> </w:t>
      </w:r>
      <w:r>
        <w:rPr>
          <w:rFonts w:ascii="Times New Roman" w:hAnsi="Times New Roman"/>
          <w:sz w:val="19"/>
        </w:rPr>
        <w:t>al</w:t>
      </w:r>
      <w:r>
        <w:rPr>
          <w:rFonts w:ascii="Times New Roman" w:hAnsi="Times New Roman"/>
          <w:spacing w:val="-7"/>
          <w:sz w:val="19"/>
        </w:rPr>
        <w:t> </w:t>
      </w:r>
      <w:r>
        <w:rPr>
          <w:rFonts w:ascii="Times New Roman" w:hAnsi="Times New Roman"/>
          <w:sz w:val="19"/>
        </w:rPr>
        <w:t>año</w:t>
      </w:r>
      <w:r>
        <w:rPr>
          <w:rFonts w:ascii="Times New Roman" w:hAnsi="Times New Roman"/>
          <w:spacing w:val="-6"/>
          <w:sz w:val="19"/>
        </w:rPr>
        <w:t> </w:t>
      </w:r>
      <w:r>
        <w:rPr>
          <w:rFonts w:ascii="Times New Roman" w:hAnsi="Times New Roman"/>
          <w:spacing w:val="-4"/>
          <w:sz w:val="19"/>
        </w:rPr>
        <w:t>2024</w:t>
      </w:r>
    </w:p>
    <w:p>
      <w:pPr>
        <w:pStyle w:val="BodyText"/>
        <w:spacing w:before="71"/>
        <w:rPr>
          <w:rFonts w:ascii="Times New Roman"/>
          <w:sz w:val="19"/>
        </w:rPr>
      </w:pPr>
    </w:p>
    <w:p>
      <w:pPr>
        <w:tabs>
          <w:tab w:pos="928" w:val="left" w:leader="none"/>
        </w:tabs>
        <w:spacing w:before="1"/>
        <w:ind w:left="208"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Distribución</w:t>
      </w:r>
      <w:r>
        <w:rPr>
          <w:rFonts w:ascii="Times New Roman" w:hAnsi="Times New Roman"/>
          <w:b/>
          <w:spacing w:val="-4"/>
          <w:sz w:val="18"/>
        </w:rPr>
        <w:t> </w:t>
      </w:r>
      <w:r>
        <w:rPr>
          <w:rFonts w:ascii="Times New Roman" w:hAnsi="Times New Roman"/>
          <w:b/>
          <w:sz w:val="18"/>
        </w:rPr>
        <w:t>de</w:t>
      </w:r>
      <w:r>
        <w:rPr>
          <w:rFonts w:ascii="Times New Roman" w:hAnsi="Times New Roman"/>
          <w:b/>
          <w:spacing w:val="-3"/>
          <w:sz w:val="18"/>
        </w:rPr>
        <w:t> </w:t>
      </w:r>
      <w:r>
        <w:rPr>
          <w:rFonts w:ascii="Times New Roman" w:hAnsi="Times New Roman"/>
          <w:b/>
          <w:sz w:val="18"/>
        </w:rPr>
        <w:t>las</w:t>
      </w:r>
      <w:r>
        <w:rPr>
          <w:rFonts w:ascii="Times New Roman" w:hAnsi="Times New Roman"/>
          <w:b/>
          <w:spacing w:val="-4"/>
          <w:sz w:val="18"/>
        </w:rPr>
        <w:t> </w:t>
      </w:r>
      <w:r>
        <w:rPr>
          <w:rFonts w:ascii="Times New Roman" w:hAnsi="Times New Roman"/>
          <w:b/>
          <w:sz w:val="18"/>
        </w:rPr>
        <w:t>metas</w:t>
      </w:r>
      <w:r>
        <w:rPr>
          <w:rFonts w:ascii="Times New Roman" w:hAnsi="Times New Roman"/>
          <w:b/>
          <w:spacing w:val="-2"/>
          <w:sz w:val="18"/>
        </w:rPr>
        <w:t> </w:t>
      </w:r>
      <w:r>
        <w:rPr>
          <w:rFonts w:ascii="Times New Roman" w:hAnsi="Times New Roman"/>
          <w:b/>
          <w:sz w:val="18"/>
        </w:rPr>
        <w:t>del</w:t>
      </w:r>
      <w:r>
        <w:rPr>
          <w:rFonts w:ascii="Times New Roman" w:hAnsi="Times New Roman"/>
          <w:b/>
          <w:spacing w:val="-3"/>
          <w:sz w:val="18"/>
        </w:rPr>
        <w:t> </w:t>
      </w:r>
      <w:r>
        <w:rPr>
          <w:rFonts w:ascii="Times New Roman" w:hAnsi="Times New Roman"/>
          <w:b/>
          <w:sz w:val="18"/>
        </w:rPr>
        <w:t>PEI</w:t>
      </w:r>
      <w:r>
        <w:rPr>
          <w:rFonts w:ascii="Times New Roman" w:hAnsi="Times New Roman"/>
          <w:b/>
          <w:spacing w:val="-2"/>
          <w:sz w:val="18"/>
        </w:rPr>
        <w:t> </w:t>
      </w:r>
      <w:r>
        <w:rPr>
          <w:rFonts w:ascii="Times New Roman" w:hAnsi="Times New Roman"/>
          <w:b/>
          <w:sz w:val="18"/>
        </w:rPr>
        <w:t>2023</w:t>
      </w:r>
      <w:r>
        <w:rPr>
          <w:rFonts w:ascii="Times New Roman" w:hAnsi="Times New Roman"/>
          <w:b/>
          <w:spacing w:val="2"/>
          <w:sz w:val="18"/>
        </w:rPr>
        <w:t> </w:t>
      </w:r>
      <w:r>
        <w:rPr>
          <w:rFonts w:ascii="Times New Roman" w:hAnsi="Times New Roman"/>
          <w:b/>
          <w:sz w:val="18"/>
        </w:rPr>
        <w:t>-</w:t>
      </w:r>
      <w:r>
        <w:rPr>
          <w:rFonts w:ascii="Times New Roman" w:hAnsi="Times New Roman"/>
          <w:b/>
          <w:spacing w:val="-2"/>
          <w:sz w:val="18"/>
        </w:rPr>
        <w:t> </w:t>
      </w:r>
      <w:r>
        <w:rPr>
          <w:rFonts w:ascii="Times New Roman" w:hAnsi="Times New Roman"/>
          <w:b/>
          <w:sz w:val="18"/>
        </w:rPr>
        <w:t>2028</w:t>
      </w:r>
      <w:r>
        <w:rPr>
          <w:rFonts w:ascii="Times New Roman" w:hAnsi="Times New Roman"/>
          <w:b/>
          <w:spacing w:val="-1"/>
          <w:sz w:val="18"/>
        </w:rPr>
        <w:t> </w:t>
      </w:r>
      <w:r>
        <w:rPr>
          <w:rFonts w:ascii="Times New Roman" w:hAnsi="Times New Roman"/>
          <w:b/>
          <w:sz w:val="18"/>
        </w:rPr>
        <w:t>según</w:t>
      </w:r>
      <w:r>
        <w:rPr>
          <w:rFonts w:ascii="Times New Roman" w:hAnsi="Times New Roman"/>
          <w:b/>
          <w:spacing w:val="-2"/>
          <w:sz w:val="18"/>
        </w:rPr>
        <w:t> </w:t>
      </w:r>
      <w:r>
        <w:rPr>
          <w:rFonts w:ascii="Times New Roman" w:hAnsi="Times New Roman"/>
          <w:b/>
          <w:sz w:val="18"/>
        </w:rPr>
        <w:t>categoría</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cumplimiento,</w:t>
      </w:r>
      <w:r>
        <w:rPr>
          <w:rFonts w:ascii="Times New Roman" w:hAnsi="Times New Roman"/>
          <w:b/>
          <w:spacing w:val="-3"/>
          <w:sz w:val="18"/>
        </w:rPr>
        <w:t> </w:t>
      </w:r>
      <w:r>
        <w:rPr>
          <w:rFonts w:ascii="Times New Roman" w:hAnsi="Times New Roman"/>
          <w:b/>
          <w:sz w:val="18"/>
        </w:rPr>
        <w:t>al</w:t>
      </w:r>
      <w:r>
        <w:rPr>
          <w:rFonts w:ascii="Times New Roman" w:hAnsi="Times New Roman"/>
          <w:b/>
          <w:spacing w:val="-1"/>
          <w:sz w:val="18"/>
        </w:rPr>
        <w:t> </w:t>
      </w:r>
      <w:r>
        <w:rPr>
          <w:rFonts w:ascii="Times New Roman" w:hAnsi="Times New Roman"/>
          <w:b/>
          <w:sz w:val="18"/>
        </w:rPr>
        <w:t>año</w:t>
      </w:r>
      <w:r>
        <w:rPr>
          <w:rFonts w:ascii="Times New Roman" w:hAnsi="Times New Roman"/>
          <w:b/>
          <w:spacing w:val="-2"/>
          <w:sz w:val="18"/>
        </w:rPr>
        <w:t> </w:t>
      </w:r>
      <w:r>
        <w:rPr>
          <w:rFonts w:ascii="Times New Roman" w:hAnsi="Times New Roman"/>
          <w:b/>
          <w:spacing w:val="-4"/>
          <w:sz w:val="18"/>
        </w:rPr>
        <w:t>2024</w:t>
      </w:r>
    </w:p>
    <w:p>
      <w:pPr>
        <w:pStyle w:val="BodyText"/>
        <w:spacing w:before="10"/>
        <w:rPr>
          <w:rFonts w:ascii="Times New Roman"/>
          <w:b/>
          <w:sz w:val="13"/>
        </w:rPr>
      </w:pPr>
    </w:p>
    <w:tbl>
      <w:tblPr>
        <w:tblW w:w="0" w:type="auto"/>
        <w:jc w:val="left"/>
        <w:tblInd w:w="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42"/>
        <w:gridCol w:w="4133"/>
      </w:tblGrid>
      <w:tr>
        <w:trPr>
          <w:trHeight w:val="330" w:hRule="atLeast"/>
        </w:trPr>
        <w:tc>
          <w:tcPr>
            <w:tcW w:w="6342"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4133" w:type="dxa"/>
            <w:tcBorders>
              <w:top w:val="single" w:sz="6" w:space="0" w:color="000000"/>
              <w:bottom w:val="single" w:sz="12" w:space="0" w:color="000000"/>
            </w:tcBorders>
          </w:tcPr>
          <w:p>
            <w:pPr>
              <w:pStyle w:val="TableParagraph"/>
              <w:ind w:left="158"/>
              <w:jc w:val="center"/>
              <w:rPr>
                <w:b/>
                <w:sz w:val="22"/>
              </w:rPr>
            </w:pPr>
            <w:r>
              <w:rPr>
                <w:b/>
                <w:spacing w:val="-4"/>
                <w:sz w:val="22"/>
              </w:rPr>
              <w:t>2024</w:t>
            </w:r>
          </w:p>
        </w:tc>
      </w:tr>
      <w:tr>
        <w:trPr>
          <w:trHeight w:val="330" w:hRule="atLeast"/>
        </w:trPr>
        <w:tc>
          <w:tcPr>
            <w:tcW w:w="6342"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4133" w:type="dxa"/>
            <w:tcBorders>
              <w:top w:val="single" w:sz="12" w:space="0" w:color="000000"/>
              <w:bottom w:val="single" w:sz="6" w:space="0" w:color="000000"/>
            </w:tcBorders>
            <w:shd w:val="clear" w:color="auto" w:fill="A0A0A0"/>
          </w:tcPr>
          <w:p>
            <w:pPr>
              <w:pStyle w:val="TableParagraph"/>
              <w:ind w:left="158" w:right="3"/>
              <w:jc w:val="center"/>
              <w:rPr>
                <w:b/>
                <w:sz w:val="22"/>
              </w:rPr>
            </w:pPr>
            <w:r>
              <w:rPr>
                <w:b/>
                <w:spacing w:val="-2"/>
                <w:sz w:val="22"/>
              </w:rPr>
              <w:t>Seguimiento</w:t>
            </w:r>
          </w:p>
        </w:tc>
      </w:tr>
      <w:tr>
        <w:trPr>
          <w:trHeight w:val="359" w:hRule="atLeast"/>
        </w:trPr>
        <w:tc>
          <w:tcPr>
            <w:tcW w:w="6342"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4133" w:type="dxa"/>
            <w:tcBorders>
              <w:top w:val="single" w:sz="6" w:space="0" w:color="000000"/>
              <w:bottom w:val="single" w:sz="6" w:space="0" w:color="000000"/>
            </w:tcBorders>
          </w:tcPr>
          <w:p>
            <w:pPr>
              <w:pStyle w:val="TableParagraph"/>
              <w:ind w:left="158"/>
              <w:jc w:val="center"/>
              <w:rPr>
                <w:sz w:val="19"/>
              </w:rPr>
            </w:pPr>
            <w:r>
              <w:rPr>
                <w:spacing w:val="-5"/>
                <w:sz w:val="19"/>
              </w:rPr>
              <w:t>76</w:t>
            </w:r>
          </w:p>
        </w:tc>
      </w:tr>
      <w:tr>
        <w:trPr>
          <w:trHeight w:val="330" w:hRule="atLeast"/>
        </w:trPr>
        <w:tc>
          <w:tcPr>
            <w:tcW w:w="6342"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4133" w:type="dxa"/>
            <w:tcBorders>
              <w:top w:val="single" w:sz="6" w:space="0" w:color="000000"/>
              <w:bottom w:val="single" w:sz="12" w:space="0" w:color="000000"/>
            </w:tcBorders>
            <w:shd w:val="clear" w:color="auto" w:fill="A0A0A0"/>
          </w:tcPr>
          <w:p>
            <w:pPr>
              <w:pStyle w:val="TableParagraph"/>
              <w:ind w:left="158"/>
              <w:jc w:val="center"/>
              <w:rPr>
                <w:sz w:val="19"/>
              </w:rPr>
            </w:pPr>
            <w:r>
              <w:rPr>
                <w:spacing w:val="-5"/>
                <w:sz w:val="19"/>
              </w:rPr>
              <w:t>49</w:t>
            </w:r>
          </w:p>
        </w:tc>
      </w:tr>
      <w:tr>
        <w:trPr>
          <w:trHeight w:val="330" w:hRule="atLeast"/>
        </w:trPr>
        <w:tc>
          <w:tcPr>
            <w:tcW w:w="6342"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4133" w:type="dxa"/>
            <w:tcBorders>
              <w:top w:val="single" w:sz="12" w:space="0" w:color="000000"/>
              <w:bottom w:val="single" w:sz="12" w:space="0" w:color="000000"/>
            </w:tcBorders>
          </w:tcPr>
          <w:p>
            <w:pPr>
              <w:pStyle w:val="TableParagraph"/>
              <w:spacing w:line="218" w:lineRule="exact"/>
              <w:ind w:left="158" w:right="6"/>
              <w:jc w:val="center"/>
              <w:rPr>
                <w:sz w:val="19"/>
              </w:rPr>
            </w:pPr>
            <w:r>
              <w:rPr>
                <w:spacing w:val="-10"/>
                <w:sz w:val="19"/>
              </w:rPr>
              <w:t>1</w:t>
            </w:r>
          </w:p>
        </w:tc>
      </w:tr>
      <w:tr>
        <w:trPr>
          <w:trHeight w:val="330" w:hRule="atLeast"/>
        </w:trPr>
        <w:tc>
          <w:tcPr>
            <w:tcW w:w="6342"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4133" w:type="dxa"/>
            <w:tcBorders>
              <w:top w:val="single" w:sz="12" w:space="0" w:color="000000"/>
              <w:bottom w:val="single" w:sz="6" w:space="0" w:color="000000"/>
            </w:tcBorders>
            <w:shd w:val="clear" w:color="auto" w:fill="A0A0A0"/>
          </w:tcPr>
          <w:p>
            <w:pPr>
              <w:pStyle w:val="TableParagraph"/>
              <w:spacing w:line="218" w:lineRule="exact"/>
              <w:ind w:left="158"/>
              <w:jc w:val="center"/>
              <w:rPr>
                <w:sz w:val="19"/>
              </w:rPr>
            </w:pPr>
            <w:r>
              <w:rPr>
                <w:spacing w:val="-5"/>
                <w:sz w:val="19"/>
              </w:rPr>
              <w:t>26</w:t>
            </w:r>
          </w:p>
        </w:tc>
      </w:tr>
      <w:tr>
        <w:trPr>
          <w:trHeight w:val="206" w:hRule="atLeast"/>
        </w:trPr>
        <w:tc>
          <w:tcPr>
            <w:tcW w:w="6342" w:type="dxa"/>
            <w:tcBorders>
              <w:top w:val="single" w:sz="6" w:space="0" w:color="000000"/>
            </w:tcBorders>
          </w:tcPr>
          <w:p>
            <w:pPr>
              <w:pStyle w:val="TableParagraph"/>
              <w:tabs>
                <w:tab w:pos="1583"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Plan</w:t>
            </w:r>
            <w:r>
              <w:rPr>
                <w:b/>
                <w:spacing w:val="-2"/>
                <w:sz w:val="18"/>
              </w:rPr>
              <w:t> </w:t>
            </w:r>
            <w:r>
              <w:rPr>
                <w:b/>
                <w:sz w:val="18"/>
              </w:rPr>
              <w:t>Estratégico Institucional</w:t>
            </w:r>
            <w:r>
              <w:rPr>
                <w:b/>
                <w:spacing w:val="-3"/>
                <w:sz w:val="18"/>
              </w:rPr>
              <w:t> </w:t>
            </w:r>
            <w:r>
              <w:rPr>
                <w:b/>
                <w:sz w:val="18"/>
              </w:rPr>
              <w:t>2023 -</w:t>
            </w:r>
            <w:r>
              <w:rPr>
                <w:b/>
                <w:spacing w:val="-3"/>
                <w:sz w:val="18"/>
              </w:rPr>
              <w:t> </w:t>
            </w:r>
            <w:r>
              <w:rPr>
                <w:b/>
                <w:spacing w:val="-4"/>
                <w:sz w:val="18"/>
              </w:rPr>
              <w:t>2028</w:t>
            </w:r>
          </w:p>
        </w:tc>
        <w:tc>
          <w:tcPr>
            <w:tcW w:w="4133" w:type="dxa"/>
            <w:tcBorders>
              <w:top w:val="single" w:sz="6" w:space="0" w:color="000000"/>
            </w:tcBorders>
          </w:tcPr>
          <w:p>
            <w:pPr>
              <w:pStyle w:val="TableParagraph"/>
              <w:rPr>
                <w:sz w:val="14"/>
              </w:rPr>
            </w:pPr>
          </w:p>
        </w:tc>
      </w:tr>
    </w:tbl>
    <w:p>
      <w:pPr>
        <w:pStyle w:val="BodyText"/>
        <w:spacing w:before="1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589376">
                <wp:simplePos x="0" y="0"/>
                <wp:positionH relativeFrom="page">
                  <wp:posOffset>1106728</wp:posOffset>
                </wp:positionH>
                <wp:positionV relativeFrom="paragraph">
                  <wp:posOffset>237489</wp:posOffset>
                </wp:positionV>
                <wp:extent cx="6322695" cy="316293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322695" cy="3162935"/>
                        </a:xfrm>
                        <a:custGeom>
                          <a:avLst/>
                          <a:gdLst/>
                          <a:ahLst/>
                          <a:cxnLst/>
                          <a:rect l="l" t="t" r="r" b="b"/>
                          <a:pathLst>
                            <a:path w="6322695" h="3162935">
                              <a:moveTo>
                                <a:pt x="6313297" y="3153803"/>
                              </a:moveTo>
                              <a:lnTo>
                                <a:pt x="9144" y="3153803"/>
                              </a:lnTo>
                              <a:lnTo>
                                <a:pt x="0" y="3153803"/>
                              </a:lnTo>
                              <a:lnTo>
                                <a:pt x="0" y="3162935"/>
                              </a:lnTo>
                              <a:lnTo>
                                <a:pt x="9144" y="3162935"/>
                              </a:lnTo>
                              <a:lnTo>
                                <a:pt x="6313297" y="3162935"/>
                              </a:lnTo>
                              <a:lnTo>
                                <a:pt x="6313297" y="3153803"/>
                              </a:lnTo>
                              <a:close/>
                            </a:path>
                            <a:path w="6322695" h="3162935">
                              <a:moveTo>
                                <a:pt x="6313297" y="0"/>
                              </a:moveTo>
                              <a:lnTo>
                                <a:pt x="9144" y="0"/>
                              </a:lnTo>
                              <a:lnTo>
                                <a:pt x="0" y="0"/>
                              </a:lnTo>
                              <a:lnTo>
                                <a:pt x="0" y="9144"/>
                              </a:lnTo>
                              <a:lnTo>
                                <a:pt x="0" y="3153791"/>
                              </a:lnTo>
                              <a:lnTo>
                                <a:pt x="9144" y="3153791"/>
                              </a:lnTo>
                              <a:lnTo>
                                <a:pt x="9144" y="9144"/>
                              </a:lnTo>
                              <a:lnTo>
                                <a:pt x="6313297" y="9144"/>
                              </a:lnTo>
                              <a:lnTo>
                                <a:pt x="6313297" y="0"/>
                              </a:lnTo>
                              <a:close/>
                            </a:path>
                            <a:path w="6322695" h="3162935">
                              <a:moveTo>
                                <a:pt x="6322517" y="3153803"/>
                              </a:moveTo>
                              <a:lnTo>
                                <a:pt x="6313373" y="3153803"/>
                              </a:lnTo>
                              <a:lnTo>
                                <a:pt x="6313373" y="3162935"/>
                              </a:lnTo>
                              <a:lnTo>
                                <a:pt x="6322517" y="3162935"/>
                              </a:lnTo>
                              <a:lnTo>
                                <a:pt x="6322517" y="3153803"/>
                              </a:lnTo>
                              <a:close/>
                            </a:path>
                            <a:path w="6322695" h="3162935">
                              <a:moveTo>
                                <a:pt x="6322517" y="0"/>
                              </a:moveTo>
                              <a:lnTo>
                                <a:pt x="6313373" y="0"/>
                              </a:lnTo>
                              <a:lnTo>
                                <a:pt x="6313373" y="9144"/>
                              </a:lnTo>
                              <a:lnTo>
                                <a:pt x="6313373" y="3153791"/>
                              </a:lnTo>
                              <a:lnTo>
                                <a:pt x="6322517" y="3153791"/>
                              </a:lnTo>
                              <a:lnTo>
                                <a:pt x="6322517" y="9144"/>
                              </a:lnTo>
                              <a:lnTo>
                                <a:pt x="63225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18.69997pt;width:497.85pt;height:249.05pt;mso-position-horizontal-relative:page;mso-position-vertical-relative:paragraph;z-index:-15727104;mso-wrap-distance-left:0;mso-wrap-distance-right:0" id="docshape6" coordorigin="1743,374" coordsize="9957,4981" path="m11685,5341l1757,5341,1743,5341,1743,5355,1757,5355,11685,5355,11685,5341xm11685,374l1757,374,1743,374,1743,388,1743,5341,1757,5341,1757,388,11685,388,11685,374xm11700,5341l11685,5341,11685,5355,11700,5355,11700,5341xm11700,374l11685,374,11685,388,11685,5341,11700,5341,11700,388,11700,374xe" filled="true" fillcolor="#000000" stroked="false">
                <v:path arrowok="t"/>
                <v:fill type="solid"/>
                <w10:wrap type="topAndBottom"/>
              </v:shape>
            </w:pict>
          </mc:Fallback>
        </mc:AlternateContent>
      </w:r>
    </w:p>
    <w:p>
      <w:pPr>
        <w:pStyle w:val="BodyText"/>
        <w:spacing w:after="0"/>
        <w:rPr>
          <w:rFonts w:ascii="Times New Roman"/>
          <w:b/>
          <w:sz w:val="20"/>
        </w:rPr>
        <w:sectPr>
          <w:pgSz w:w="13370" w:h="17280"/>
          <w:pgMar w:header="0" w:footer="969" w:top="560" w:bottom="1160" w:left="1275" w:right="992"/>
        </w:sectPr>
      </w:pPr>
    </w:p>
    <w:p>
      <w:pPr>
        <w:pStyle w:val="BodyText"/>
        <w:spacing w:before="4"/>
        <w:rPr>
          <w:rFonts w:ascii="Times New Roman"/>
          <w:b/>
          <w:sz w:val="5"/>
        </w:rPr>
      </w:pPr>
    </w:p>
    <w:p>
      <w:pPr>
        <w:spacing w:line="176" w:lineRule="exact"/>
        <w:ind w:left="247" w:right="0" w:firstLine="0"/>
        <w:rPr>
          <w:rFonts w:ascii="Times New Roman"/>
          <w:position w:val="-3"/>
          <w:sz w:val="17"/>
        </w:rPr>
      </w:pPr>
      <w:r>
        <w:rPr>
          <w:rFonts w:ascii="Times New Roman"/>
          <w:position w:val="-3"/>
          <w:sz w:val="17"/>
        </w:rPr>
        <w:drawing>
          <wp:inline distT="0" distB="0" distL="0" distR="0">
            <wp:extent cx="6494163" cy="112014"/>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6494163" cy="112014"/>
                    </a:xfrm>
                    <a:prstGeom prst="rect">
                      <a:avLst/>
                    </a:prstGeom>
                  </pic:spPr>
                </pic:pic>
              </a:graphicData>
            </a:graphic>
          </wp:inline>
        </w:drawing>
      </w:r>
      <w:r>
        <w:rPr>
          <w:rFonts w:ascii="Times New Roman"/>
          <w:position w:val="-3"/>
          <w:sz w:val="17"/>
        </w:rPr>
      </w:r>
    </w:p>
    <w:p>
      <w:pPr>
        <w:pStyle w:val="BodyText"/>
        <w:rPr>
          <w:rFonts w:ascii="Times New Roman"/>
          <w:b/>
          <w:sz w:val="14"/>
        </w:rPr>
      </w:pPr>
      <w:r>
        <w:rPr>
          <w:rFonts w:ascii="Times New Roman"/>
          <w:b/>
          <w:sz w:val="14"/>
        </w:rPr>
        <mc:AlternateContent>
          <mc:Choice Requires="wps">
            <w:drawing>
              <wp:anchor distT="0" distB="0" distL="0" distR="0" allowOverlap="1" layoutInCell="1" locked="0" behindDoc="1" simplePos="0" relativeHeight="487590400">
                <wp:simplePos x="0" y="0"/>
                <wp:positionH relativeFrom="page">
                  <wp:posOffset>908608</wp:posOffset>
                </wp:positionH>
                <wp:positionV relativeFrom="paragraph">
                  <wp:posOffset>117962</wp:posOffset>
                </wp:positionV>
                <wp:extent cx="6612255" cy="228600"/>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6612255" cy="228600"/>
                        </a:xfrm>
                        <a:prstGeom prst="rect">
                          <a:avLst/>
                        </a:prstGeom>
                        <a:solidFill>
                          <a:srgbClr val="A0A0A0"/>
                        </a:solidFill>
                      </wps:spPr>
                      <wps:txbx>
                        <w:txbxContent>
                          <w:p>
                            <w:pPr>
                              <w:spacing w:before="0"/>
                              <w:ind w:left="52" w:right="0" w:firstLine="0"/>
                              <w:jc w:val="left"/>
                              <w:rPr>
                                <w:rFonts w:ascii="Times New Roman" w:hAnsi="Times New Roman"/>
                                <w:b/>
                                <w:color w:val="000000"/>
                                <w:sz w:val="28"/>
                              </w:rPr>
                            </w:pPr>
                            <w:r>
                              <w:rPr>
                                <w:rFonts w:ascii="Times New Roman" w:hAnsi="Times New Roman"/>
                                <w:b/>
                                <w:color w:val="000000"/>
                                <w:sz w:val="28"/>
                              </w:rPr>
                              <w:t>Total,</w:t>
                            </w:r>
                            <w:r>
                              <w:rPr>
                                <w:rFonts w:ascii="Times New Roman" w:hAnsi="Times New Roman"/>
                                <w:b/>
                                <w:color w:val="000000"/>
                                <w:spacing w:val="-6"/>
                                <w:sz w:val="28"/>
                              </w:rPr>
                              <w:t> </w:t>
                            </w:r>
                            <w:r>
                              <w:rPr>
                                <w:rFonts w:ascii="Times New Roman" w:hAnsi="Times New Roman"/>
                                <w:b/>
                                <w:color w:val="000000"/>
                                <w:sz w:val="28"/>
                              </w:rPr>
                              <w:t>de</w:t>
                            </w:r>
                            <w:r>
                              <w:rPr>
                                <w:rFonts w:ascii="Times New Roman" w:hAnsi="Times New Roman"/>
                                <w:b/>
                                <w:color w:val="000000"/>
                                <w:spacing w:val="-3"/>
                                <w:sz w:val="28"/>
                              </w:rPr>
                              <w:t> </w:t>
                            </w:r>
                            <w:r>
                              <w:rPr>
                                <w:rFonts w:ascii="Times New Roman" w:hAnsi="Times New Roman"/>
                                <w:b/>
                                <w:color w:val="000000"/>
                                <w:sz w:val="28"/>
                              </w:rPr>
                              <w:t>metas</w:t>
                            </w:r>
                            <w:r>
                              <w:rPr>
                                <w:rFonts w:ascii="Times New Roman" w:hAnsi="Times New Roman"/>
                                <w:b/>
                                <w:color w:val="000000"/>
                                <w:spacing w:val="-6"/>
                                <w:sz w:val="28"/>
                              </w:rPr>
                              <w:t> </w:t>
                            </w:r>
                            <w:r>
                              <w:rPr>
                                <w:rFonts w:ascii="Times New Roman" w:hAnsi="Times New Roman"/>
                                <w:b/>
                                <w:color w:val="000000"/>
                                <w:sz w:val="28"/>
                              </w:rPr>
                              <w:t>activas</w:t>
                            </w:r>
                            <w:r>
                              <w:rPr>
                                <w:rFonts w:ascii="Times New Roman" w:hAnsi="Times New Roman"/>
                                <w:b/>
                                <w:color w:val="000000"/>
                                <w:spacing w:val="-2"/>
                                <w:sz w:val="28"/>
                              </w:rPr>
                              <w:t> </w:t>
                            </w:r>
                            <w:r>
                              <w:rPr>
                                <w:rFonts w:ascii="Times New Roman" w:hAnsi="Times New Roman"/>
                                <w:b/>
                                <w:color w:val="000000"/>
                                <w:sz w:val="28"/>
                              </w:rPr>
                              <w:t>por</w:t>
                            </w:r>
                            <w:r>
                              <w:rPr>
                                <w:rFonts w:ascii="Times New Roman" w:hAnsi="Times New Roman"/>
                                <w:b/>
                                <w:color w:val="000000"/>
                                <w:spacing w:val="-3"/>
                                <w:sz w:val="28"/>
                              </w:rPr>
                              <w:t> </w:t>
                            </w:r>
                            <w:r>
                              <w:rPr>
                                <w:rFonts w:ascii="Times New Roman" w:hAnsi="Times New Roman"/>
                                <w:b/>
                                <w:color w:val="000000"/>
                                <w:sz w:val="28"/>
                              </w:rPr>
                              <w:t>eje</w:t>
                            </w:r>
                            <w:r>
                              <w:rPr>
                                <w:rFonts w:ascii="Times New Roman" w:hAnsi="Times New Roman"/>
                                <w:b/>
                                <w:color w:val="000000"/>
                                <w:spacing w:val="-2"/>
                                <w:sz w:val="28"/>
                              </w:rPr>
                              <w:t> </w:t>
                            </w:r>
                            <w:r>
                              <w:rPr>
                                <w:rFonts w:ascii="Times New Roman" w:hAnsi="Times New Roman"/>
                                <w:b/>
                                <w:color w:val="000000"/>
                                <w:sz w:val="28"/>
                              </w:rPr>
                              <w:t>del</w:t>
                            </w:r>
                            <w:r>
                              <w:rPr>
                                <w:rFonts w:ascii="Times New Roman" w:hAnsi="Times New Roman"/>
                                <w:b/>
                                <w:color w:val="000000"/>
                                <w:spacing w:val="-2"/>
                                <w:sz w:val="28"/>
                              </w:rPr>
                              <w:t> </w:t>
                            </w:r>
                            <w:r>
                              <w:rPr>
                                <w:rFonts w:ascii="Times New Roman" w:hAnsi="Times New Roman"/>
                                <w:b/>
                                <w:color w:val="000000"/>
                                <w:sz w:val="28"/>
                              </w:rPr>
                              <w:t>PEI</w:t>
                            </w:r>
                            <w:r>
                              <w:rPr>
                                <w:rFonts w:ascii="Times New Roman" w:hAnsi="Times New Roman"/>
                                <w:b/>
                                <w:color w:val="000000"/>
                                <w:spacing w:val="-5"/>
                                <w:sz w:val="28"/>
                              </w:rPr>
                              <w:t> </w:t>
                            </w:r>
                            <w:r>
                              <w:rPr>
                                <w:rFonts w:ascii="Times New Roman" w:hAnsi="Times New Roman"/>
                                <w:b/>
                                <w:color w:val="000000"/>
                                <w:sz w:val="28"/>
                              </w:rPr>
                              <w:t>según</w:t>
                            </w:r>
                            <w:r>
                              <w:rPr>
                                <w:rFonts w:ascii="Times New Roman" w:hAnsi="Times New Roman"/>
                                <w:b/>
                                <w:color w:val="000000"/>
                                <w:spacing w:val="-3"/>
                                <w:sz w:val="28"/>
                              </w:rPr>
                              <w:t> </w:t>
                            </w:r>
                            <w:r>
                              <w:rPr>
                                <w:rFonts w:ascii="Times New Roman" w:hAnsi="Times New Roman"/>
                                <w:b/>
                                <w:color w:val="000000"/>
                                <w:spacing w:val="-2"/>
                                <w:sz w:val="28"/>
                              </w:rPr>
                              <w:t>cumplimiento</w:t>
                            </w:r>
                          </w:p>
                        </w:txbxContent>
                      </wps:txbx>
                      <wps:bodyPr wrap="square" lIns="0" tIns="0" rIns="0" bIns="0" rtlCol="0">
                        <a:noAutofit/>
                      </wps:bodyPr>
                    </wps:wsp>
                  </a:graphicData>
                </a:graphic>
              </wp:anchor>
            </w:drawing>
          </mc:Choice>
          <mc:Fallback>
            <w:pict>
              <v:shape style="position:absolute;margin-left:71.543999pt;margin-top:9.288402pt;width:520.65pt;height:18pt;mso-position-horizontal-relative:page;mso-position-vertical-relative:paragraph;z-index:-15726080;mso-wrap-distance-left:0;mso-wrap-distance-right:0" type="#_x0000_t202" id="docshape8" filled="true" fillcolor="#a0a0a0" stroked="false">
                <v:textbox inset="0,0,0,0">
                  <w:txbxContent>
                    <w:p>
                      <w:pPr>
                        <w:spacing w:before="0"/>
                        <w:ind w:left="52" w:right="0" w:firstLine="0"/>
                        <w:jc w:val="left"/>
                        <w:rPr>
                          <w:rFonts w:ascii="Times New Roman" w:hAnsi="Times New Roman"/>
                          <w:b/>
                          <w:color w:val="000000"/>
                          <w:sz w:val="28"/>
                        </w:rPr>
                      </w:pPr>
                      <w:r>
                        <w:rPr>
                          <w:rFonts w:ascii="Times New Roman" w:hAnsi="Times New Roman"/>
                          <w:b/>
                          <w:color w:val="000000"/>
                          <w:sz w:val="28"/>
                        </w:rPr>
                        <w:t>Total,</w:t>
                      </w:r>
                      <w:r>
                        <w:rPr>
                          <w:rFonts w:ascii="Times New Roman" w:hAnsi="Times New Roman"/>
                          <w:b/>
                          <w:color w:val="000000"/>
                          <w:spacing w:val="-6"/>
                          <w:sz w:val="28"/>
                        </w:rPr>
                        <w:t> </w:t>
                      </w:r>
                      <w:r>
                        <w:rPr>
                          <w:rFonts w:ascii="Times New Roman" w:hAnsi="Times New Roman"/>
                          <w:b/>
                          <w:color w:val="000000"/>
                          <w:sz w:val="28"/>
                        </w:rPr>
                        <w:t>de</w:t>
                      </w:r>
                      <w:r>
                        <w:rPr>
                          <w:rFonts w:ascii="Times New Roman" w:hAnsi="Times New Roman"/>
                          <w:b/>
                          <w:color w:val="000000"/>
                          <w:spacing w:val="-3"/>
                          <w:sz w:val="28"/>
                        </w:rPr>
                        <w:t> </w:t>
                      </w:r>
                      <w:r>
                        <w:rPr>
                          <w:rFonts w:ascii="Times New Roman" w:hAnsi="Times New Roman"/>
                          <w:b/>
                          <w:color w:val="000000"/>
                          <w:sz w:val="28"/>
                        </w:rPr>
                        <w:t>metas</w:t>
                      </w:r>
                      <w:r>
                        <w:rPr>
                          <w:rFonts w:ascii="Times New Roman" w:hAnsi="Times New Roman"/>
                          <w:b/>
                          <w:color w:val="000000"/>
                          <w:spacing w:val="-6"/>
                          <w:sz w:val="28"/>
                        </w:rPr>
                        <w:t> </w:t>
                      </w:r>
                      <w:r>
                        <w:rPr>
                          <w:rFonts w:ascii="Times New Roman" w:hAnsi="Times New Roman"/>
                          <w:b/>
                          <w:color w:val="000000"/>
                          <w:sz w:val="28"/>
                        </w:rPr>
                        <w:t>activas</w:t>
                      </w:r>
                      <w:r>
                        <w:rPr>
                          <w:rFonts w:ascii="Times New Roman" w:hAnsi="Times New Roman"/>
                          <w:b/>
                          <w:color w:val="000000"/>
                          <w:spacing w:val="-2"/>
                          <w:sz w:val="28"/>
                        </w:rPr>
                        <w:t> </w:t>
                      </w:r>
                      <w:r>
                        <w:rPr>
                          <w:rFonts w:ascii="Times New Roman" w:hAnsi="Times New Roman"/>
                          <w:b/>
                          <w:color w:val="000000"/>
                          <w:sz w:val="28"/>
                        </w:rPr>
                        <w:t>por</w:t>
                      </w:r>
                      <w:r>
                        <w:rPr>
                          <w:rFonts w:ascii="Times New Roman" w:hAnsi="Times New Roman"/>
                          <w:b/>
                          <w:color w:val="000000"/>
                          <w:spacing w:val="-3"/>
                          <w:sz w:val="28"/>
                        </w:rPr>
                        <w:t> </w:t>
                      </w:r>
                      <w:r>
                        <w:rPr>
                          <w:rFonts w:ascii="Times New Roman" w:hAnsi="Times New Roman"/>
                          <w:b/>
                          <w:color w:val="000000"/>
                          <w:sz w:val="28"/>
                        </w:rPr>
                        <w:t>eje</w:t>
                      </w:r>
                      <w:r>
                        <w:rPr>
                          <w:rFonts w:ascii="Times New Roman" w:hAnsi="Times New Roman"/>
                          <w:b/>
                          <w:color w:val="000000"/>
                          <w:spacing w:val="-2"/>
                          <w:sz w:val="28"/>
                        </w:rPr>
                        <w:t> </w:t>
                      </w:r>
                      <w:r>
                        <w:rPr>
                          <w:rFonts w:ascii="Times New Roman" w:hAnsi="Times New Roman"/>
                          <w:b/>
                          <w:color w:val="000000"/>
                          <w:sz w:val="28"/>
                        </w:rPr>
                        <w:t>del</w:t>
                      </w:r>
                      <w:r>
                        <w:rPr>
                          <w:rFonts w:ascii="Times New Roman" w:hAnsi="Times New Roman"/>
                          <w:b/>
                          <w:color w:val="000000"/>
                          <w:spacing w:val="-2"/>
                          <w:sz w:val="28"/>
                        </w:rPr>
                        <w:t> </w:t>
                      </w:r>
                      <w:r>
                        <w:rPr>
                          <w:rFonts w:ascii="Times New Roman" w:hAnsi="Times New Roman"/>
                          <w:b/>
                          <w:color w:val="000000"/>
                          <w:sz w:val="28"/>
                        </w:rPr>
                        <w:t>PEI</w:t>
                      </w:r>
                      <w:r>
                        <w:rPr>
                          <w:rFonts w:ascii="Times New Roman" w:hAnsi="Times New Roman"/>
                          <w:b/>
                          <w:color w:val="000000"/>
                          <w:spacing w:val="-5"/>
                          <w:sz w:val="28"/>
                        </w:rPr>
                        <w:t> </w:t>
                      </w:r>
                      <w:r>
                        <w:rPr>
                          <w:rFonts w:ascii="Times New Roman" w:hAnsi="Times New Roman"/>
                          <w:b/>
                          <w:color w:val="000000"/>
                          <w:sz w:val="28"/>
                        </w:rPr>
                        <w:t>según</w:t>
                      </w:r>
                      <w:r>
                        <w:rPr>
                          <w:rFonts w:ascii="Times New Roman" w:hAnsi="Times New Roman"/>
                          <w:b/>
                          <w:color w:val="000000"/>
                          <w:spacing w:val="-3"/>
                          <w:sz w:val="28"/>
                        </w:rPr>
                        <w:t> </w:t>
                      </w:r>
                      <w:r>
                        <w:rPr>
                          <w:rFonts w:ascii="Times New Roman" w:hAnsi="Times New Roman"/>
                          <w:b/>
                          <w:color w:val="000000"/>
                          <w:spacing w:val="-2"/>
                          <w:sz w:val="28"/>
                        </w:rPr>
                        <w:t>cumplimiento</w:t>
                      </w:r>
                    </w:p>
                  </w:txbxContent>
                </v:textbox>
                <v:fill type="solid"/>
                <w10:wrap type="topAndBottom"/>
              </v:shape>
            </w:pict>
          </mc:Fallback>
        </mc:AlternateContent>
      </w:r>
    </w:p>
    <w:tbl>
      <w:tblPr>
        <w:tblW w:w="0" w:type="auto"/>
        <w:jc w:val="left"/>
        <w:tblInd w:w="170" w:type="dxa"/>
        <w:tblBorders>
          <w:top w:val="single" w:sz="6" w:space="0" w:color="9F9F9F"/>
          <w:left w:val="single" w:sz="6" w:space="0" w:color="9F9F9F"/>
          <w:bottom w:val="single" w:sz="6" w:space="0" w:color="9F9F9F"/>
          <w:right w:val="single" w:sz="6" w:space="0" w:color="9F9F9F"/>
          <w:insideH w:val="single" w:sz="6" w:space="0" w:color="9F9F9F"/>
          <w:insideV w:val="single" w:sz="6" w:space="0" w:color="9F9F9F"/>
        </w:tblBorders>
        <w:tblLayout w:type="fixed"/>
        <w:tblCellMar>
          <w:top w:w="0" w:type="dxa"/>
          <w:left w:w="0" w:type="dxa"/>
          <w:bottom w:w="0" w:type="dxa"/>
          <w:right w:w="0" w:type="dxa"/>
        </w:tblCellMar>
        <w:tblLook w:val="01E0"/>
      </w:tblPr>
      <w:tblGrid>
        <w:gridCol w:w="4503"/>
        <w:gridCol w:w="1876"/>
        <w:gridCol w:w="2176"/>
        <w:gridCol w:w="1651"/>
      </w:tblGrid>
      <w:tr>
        <w:trPr>
          <w:trHeight w:val="299" w:hRule="atLeast"/>
        </w:trPr>
        <w:tc>
          <w:tcPr>
            <w:tcW w:w="4503" w:type="dxa"/>
            <w:tcBorders>
              <w:top w:val="nil"/>
              <w:left w:val="nil"/>
            </w:tcBorders>
          </w:tcPr>
          <w:p>
            <w:pPr>
              <w:pStyle w:val="TableParagraph"/>
              <w:rPr>
                <w:sz w:val="20"/>
              </w:rPr>
            </w:pPr>
          </w:p>
        </w:tc>
        <w:tc>
          <w:tcPr>
            <w:tcW w:w="1876" w:type="dxa"/>
            <w:tcBorders>
              <w:top w:val="nil"/>
            </w:tcBorders>
            <w:shd w:val="clear" w:color="auto" w:fill="C6C6C6"/>
          </w:tcPr>
          <w:p>
            <w:pPr>
              <w:pStyle w:val="TableParagraph"/>
              <w:spacing w:before="2"/>
              <w:ind w:right="120"/>
              <w:jc w:val="center"/>
              <w:rPr>
                <w:sz w:val="19"/>
              </w:rPr>
            </w:pPr>
            <w:r>
              <w:rPr>
                <w:sz w:val="19"/>
              </w:rPr>
              <w:t>Según</w:t>
            </w:r>
            <w:r>
              <w:rPr>
                <w:spacing w:val="-4"/>
                <w:sz w:val="19"/>
              </w:rPr>
              <w:t> </w:t>
            </w:r>
            <w:r>
              <w:rPr>
                <w:sz w:val="19"/>
              </w:rPr>
              <w:t>lo</w:t>
            </w:r>
            <w:r>
              <w:rPr>
                <w:spacing w:val="-4"/>
                <w:sz w:val="19"/>
              </w:rPr>
              <w:t> </w:t>
            </w:r>
            <w:r>
              <w:rPr>
                <w:spacing w:val="-2"/>
                <w:sz w:val="19"/>
              </w:rPr>
              <w:t>programado</w:t>
            </w:r>
          </w:p>
        </w:tc>
        <w:tc>
          <w:tcPr>
            <w:tcW w:w="2176" w:type="dxa"/>
            <w:tcBorders>
              <w:top w:val="nil"/>
            </w:tcBorders>
            <w:shd w:val="clear" w:color="auto" w:fill="C6C6C6"/>
          </w:tcPr>
          <w:p>
            <w:pPr>
              <w:pStyle w:val="TableParagraph"/>
              <w:spacing w:before="2"/>
              <w:ind w:right="46"/>
              <w:jc w:val="center"/>
              <w:rPr>
                <w:sz w:val="19"/>
              </w:rPr>
            </w:pPr>
            <w:r>
              <w:rPr>
                <w:sz w:val="19"/>
              </w:rPr>
              <w:t>Riesgo</w:t>
            </w:r>
            <w:r>
              <w:rPr>
                <w:spacing w:val="-5"/>
                <w:sz w:val="19"/>
              </w:rPr>
              <w:t> </w:t>
            </w:r>
            <w:r>
              <w:rPr>
                <w:sz w:val="19"/>
              </w:rPr>
              <w:t>de</w:t>
            </w:r>
            <w:r>
              <w:rPr>
                <w:spacing w:val="-4"/>
                <w:sz w:val="19"/>
              </w:rPr>
              <w:t> </w:t>
            </w:r>
            <w:r>
              <w:rPr>
                <w:spacing w:val="-2"/>
                <w:sz w:val="19"/>
              </w:rPr>
              <w:t>incumplimiento</w:t>
            </w:r>
          </w:p>
        </w:tc>
        <w:tc>
          <w:tcPr>
            <w:tcW w:w="1651" w:type="dxa"/>
            <w:tcBorders>
              <w:top w:val="nil"/>
            </w:tcBorders>
            <w:shd w:val="clear" w:color="auto" w:fill="C6C6C6"/>
          </w:tcPr>
          <w:p>
            <w:pPr>
              <w:pStyle w:val="TableParagraph"/>
              <w:spacing w:before="2"/>
              <w:ind w:left="52"/>
              <w:rPr>
                <w:sz w:val="19"/>
              </w:rPr>
            </w:pPr>
            <w:r>
              <w:rPr>
                <w:sz w:val="19"/>
              </w:rPr>
              <w:t>Avance</w:t>
            </w:r>
            <w:r>
              <w:rPr>
                <w:spacing w:val="-7"/>
                <w:sz w:val="19"/>
              </w:rPr>
              <w:t> </w:t>
            </w:r>
            <w:r>
              <w:rPr>
                <w:spacing w:val="-2"/>
                <w:sz w:val="19"/>
              </w:rPr>
              <w:t>crítico</w:t>
            </w:r>
          </w:p>
        </w:tc>
      </w:tr>
      <w:tr>
        <w:trPr>
          <w:trHeight w:val="296" w:hRule="atLeast"/>
        </w:trPr>
        <w:tc>
          <w:tcPr>
            <w:tcW w:w="4503" w:type="dxa"/>
            <w:tcBorders>
              <w:right w:val="single" w:sz="8" w:space="0" w:color="9F9F9F"/>
            </w:tcBorders>
            <w:shd w:val="clear" w:color="auto" w:fill="EFEFEF"/>
          </w:tcPr>
          <w:p>
            <w:pPr>
              <w:pStyle w:val="TableParagraph"/>
              <w:spacing w:before="2"/>
              <w:ind w:left="54"/>
              <w:rPr>
                <w:sz w:val="19"/>
              </w:rPr>
            </w:pPr>
            <w:r>
              <w:rPr>
                <w:sz w:val="19"/>
              </w:rPr>
              <w:t>1:</w:t>
            </w:r>
            <w:r>
              <w:rPr>
                <w:spacing w:val="-6"/>
                <w:sz w:val="19"/>
              </w:rPr>
              <w:t> </w:t>
            </w:r>
            <w:r>
              <w:rPr>
                <w:sz w:val="19"/>
              </w:rPr>
              <w:t>Gestión</w:t>
            </w:r>
            <w:r>
              <w:rPr>
                <w:spacing w:val="-5"/>
                <w:sz w:val="19"/>
              </w:rPr>
              <w:t> </w:t>
            </w:r>
            <w:r>
              <w:rPr>
                <w:sz w:val="19"/>
              </w:rPr>
              <w:t>del</w:t>
            </w:r>
            <w:r>
              <w:rPr>
                <w:spacing w:val="-7"/>
                <w:sz w:val="19"/>
              </w:rPr>
              <w:t> </w:t>
            </w:r>
            <w:r>
              <w:rPr>
                <w:sz w:val="19"/>
              </w:rPr>
              <w:t>cambio</w:t>
            </w:r>
            <w:r>
              <w:rPr>
                <w:spacing w:val="-5"/>
                <w:sz w:val="19"/>
              </w:rPr>
              <w:t> </w:t>
            </w:r>
            <w:r>
              <w:rPr>
                <w:sz w:val="19"/>
              </w:rPr>
              <w:t>e</w:t>
            </w:r>
            <w:r>
              <w:rPr>
                <w:spacing w:val="-6"/>
                <w:sz w:val="19"/>
              </w:rPr>
              <w:t> </w:t>
            </w:r>
            <w:r>
              <w:rPr>
                <w:sz w:val="19"/>
              </w:rPr>
              <w:t>innovación</w:t>
            </w:r>
            <w:r>
              <w:rPr>
                <w:spacing w:val="-5"/>
                <w:sz w:val="19"/>
              </w:rPr>
              <w:t> </w:t>
            </w:r>
            <w:r>
              <w:rPr>
                <w:spacing w:val="-2"/>
                <w:sz w:val="19"/>
              </w:rPr>
              <w:t>Institucional</w:t>
            </w:r>
          </w:p>
        </w:tc>
        <w:tc>
          <w:tcPr>
            <w:tcW w:w="1876" w:type="dxa"/>
            <w:tcBorders>
              <w:left w:val="single" w:sz="8" w:space="0" w:color="9F9F9F"/>
              <w:bottom w:val="single" w:sz="8" w:space="0" w:color="9F9F9F"/>
              <w:right w:val="single" w:sz="8" w:space="0" w:color="9F9F9F"/>
            </w:tcBorders>
          </w:tcPr>
          <w:p>
            <w:pPr>
              <w:pStyle w:val="TableParagraph"/>
              <w:spacing w:before="2"/>
              <w:ind w:left="15"/>
              <w:jc w:val="center"/>
              <w:rPr>
                <w:b/>
                <w:sz w:val="18"/>
              </w:rPr>
            </w:pPr>
            <w:r>
              <w:rPr>
                <w:b/>
                <w:spacing w:val="-5"/>
                <w:sz w:val="18"/>
              </w:rPr>
              <w:t>17</w:t>
            </w:r>
          </w:p>
        </w:tc>
        <w:tc>
          <w:tcPr>
            <w:tcW w:w="2176" w:type="dxa"/>
            <w:tcBorders>
              <w:left w:val="single" w:sz="8" w:space="0" w:color="9F9F9F"/>
              <w:bottom w:val="single" w:sz="8" w:space="0" w:color="9F9F9F"/>
              <w:right w:val="single" w:sz="8" w:space="0" w:color="9F9F9F"/>
            </w:tcBorders>
          </w:tcPr>
          <w:p>
            <w:pPr>
              <w:pStyle w:val="TableParagraph"/>
              <w:spacing w:before="2"/>
              <w:ind w:left="13"/>
              <w:jc w:val="center"/>
              <w:rPr>
                <w:sz w:val="19"/>
              </w:rPr>
            </w:pPr>
            <w:r>
              <w:rPr>
                <w:spacing w:val="-10"/>
                <w:sz w:val="19"/>
              </w:rPr>
              <w:t>1</w:t>
            </w:r>
          </w:p>
        </w:tc>
        <w:tc>
          <w:tcPr>
            <w:tcW w:w="1651" w:type="dxa"/>
            <w:tcBorders>
              <w:left w:val="single" w:sz="8" w:space="0" w:color="9F9F9F"/>
              <w:bottom w:val="single" w:sz="8" w:space="0" w:color="9F9F9F"/>
            </w:tcBorders>
          </w:tcPr>
          <w:p>
            <w:pPr>
              <w:pStyle w:val="TableParagraph"/>
              <w:spacing w:before="2"/>
              <w:ind w:left="12"/>
              <w:jc w:val="center"/>
              <w:rPr>
                <w:sz w:val="19"/>
              </w:rPr>
            </w:pPr>
            <w:r>
              <w:rPr>
                <w:spacing w:val="-5"/>
                <w:sz w:val="19"/>
              </w:rPr>
              <w:t>12</w:t>
            </w:r>
          </w:p>
        </w:tc>
      </w:tr>
      <w:tr>
        <w:trPr>
          <w:trHeight w:val="299" w:hRule="atLeast"/>
        </w:trPr>
        <w:tc>
          <w:tcPr>
            <w:tcW w:w="4503" w:type="dxa"/>
            <w:tcBorders>
              <w:right w:val="single" w:sz="8" w:space="0" w:color="9F9F9F"/>
            </w:tcBorders>
            <w:shd w:val="clear" w:color="auto" w:fill="EFEFEF"/>
          </w:tcPr>
          <w:p>
            <w:pPr>
              <w:pStyle w:val="TableParagraph"/>
              <w:ind w:left="54"/>
              <w:rPr>
                <w:sz w:val="19"/>
              </w:rPr>
            </w:pPr>
            <w:r>
              <w:rPr>
                <w:sz w:val="19"/>
              </w:rPr>
              <w:t>2:</w:t>
            </w:r>
            <w:r>
              <w:rPr>
                <w:spacing w:val="-6"/>
                <w:sz w:val="19"/>
              </w:rPr>
              <w:t> </w:t>
            </w:r>
            <w:r>
              <w:rPr>
                <w:sz w:val="19"/>
              </w:rPr>
              <w:t>Gestión</w:t>
            </w:r>
            <w:r>
              <w:rPr>
                <w:spacing w:val="-4"/>
                <w:sz w:val="19"/>
              </w:rPr>
              <w:t> </w:t>
            </w:r>
            <w:r>
              <w:rPr>
                <w:sz w:val="19"/>
              </w:rPr>
              <w:t>del</w:t>
            </w:r>
            <w:r>
              <w:rPr>
                <w:spacing w:val="-7"/>
                <w:sz w:val="19"/>
              </w:rPr>
              <w:t> </w:t>
            </w:r>
            <w:r>
              <w:rPr>
                <w:sz w:val="19"/>
              </w:rPr>
              <w:t>desarrollo</w:t>
            </w:r>
            <w:r>
              <w:rPr>
                <w:spacing w:val="-6"/>
                <w:sz w:val="19"/>
              </w:rPr>
              <w:t> </w:t>
            </w:r>
            <w:r>
              <w:rPr>
                <w:sz w:val="19"/>
              </w:rPr>
              <w:t>con</w:t>
            </w:r>
            <w:r>
              <w:rPr>
                <w:spacing w:val="-6"/>
                <w:sz w:val="19"/>
              </w:rPr>
              <w:t> </w:t>
            </w:r>
            <w:r>
              <w:rPr>
                <w:sz w:val="19"/>
              </w:rPr>
              <w:t>enfoque</w:t>
            </w:r>
            <w:r>
              <w:rPr>
                <w:spacing w:val="-7"/>
                <w:sz w:val="19"/>
              </w:rPr>
              <w:t> </w:t>
            </w:r>
            <w:r>
              <w:rPr>
                <w:spacing w:val="-2"/>
                <w:sz w:val="19"/>
              </w:rPr>
              <w:t>interseccional</w:t>
            </w:r>
          </w:p>
        </w:tc>
        <w:tc>
          <w:tcPr>
            <w:tcW w:w="1876" w:type="dxa"/>
            <w:tcBorders>
              <w:top w:val="single" w:sz="8" w:space="0" w:color="9F9F9F"/>
              <w:left w:val="single" w:sz="8" w:space="0" w:color="9F9F9F"/>
              <w:right w:val="single" w:sz="8" w:space="0" w:color="9F9F9F"/>
            </w:tcBorders>
          </w:tcPr>
          <w:p>
            <w:pPr>
              <w:pStyle w:val="TableParagraph"/>
              <w:spacing w:line="207" w:lineRule="exact"/>
              <w:ind w:left="15" w:right="6"/>
              <w:jc w:val="center"/>
              <w:rPr>
                <w:b/>
                <w:sz w:val="18"/>
              </w:rPr>
            </w:pPr>
            <w:r>
              <w:rPr>
                <w:b/>
                <w:spacing w:val="-10"/>
                <w:sz w:val="18"/>
              </w:rPr>
              <w:t>3</w:t>
            </w:r>
          </w:p>
        </w:tc>
        <w:tc>
          <w:tcPr>
            <w:tcW w:w="2176" w:type="dxa"/>
            <w:tcBorders>
              <w:top w:val="single" w:sz="8" w:space="0" w:color="9F9F9F"/>
              <w:left w:val="single" w:sz="8" w:space="0" w:color="9F9F9F"/>
              <w:right w:val="single" w:sz="8" w:space="0" w:color="9F9F9F"/>
            </w:tcBorders>
          </w:tcPr>
          <w:p>
            <w:pPr>
              <w:pStyle w:val="TableParagraph"/>
              <w:ind w:left="13"/>
              <w:jc w:val="center"/>
              <w:rPr>
                <w:sz w:val="19"/>
              </w:rPr>
            </w:pPr>
            <w:r>
              <w:rPr>
                <w:spacing w:val="-10"/>
                <w:sz w:val="19"/>
              </w:rPr>
              <w:t>0</w:t>
            </w:r>
          </w:p>
        </w:tc>
        <w:tc>
          <w:tcPr>
            <w:tcW w:w="1651" w:type="dxa"/>
            <w:tcBorders>
              <w:top w:val="single" w:sz="8" w:space="0" w:color="9F9F9F"/>
              <w:left w:val="single" w:sz="8" w:space="0" w:color="9F9F9F"/>
            </w:tcBorders>
          </w:tcPr>
          <w:p>
            <w:pPr>
              <w:pStyle w:val="TableParagraph"/>
              <w:ind w:left="12" w:right="6"/>
              <w:jc w:val="center"/>
              <w:rPr>
                <w:sz w:val="19"/>
              </w:rPr>
            </w:pPr>
            <w:r>
              <w:rPr>
                <w:spacing w:val="-10"/>
                <w:sz w:val="19"/>
              </w:rPr>
              <w:t>1</w:t>
            </w:r>
          </w:p>
        </w:tc>
      </w:tr>
      <w:tr>
        <w:trPr>
          <w:trHeight w:val="299" w:hRule="atLeast"/>
        </w:trPr>
        <w:tc>
          <w:tcPr>
            <w:tcW w:w="4503" w:type="dxa"/>
            <w:tcBorders>
              <w:right w:val="single" w:sz="8" w:space="0" w:color="9F9F9F"/>
            </w:tcBorders>
            <w:shd w:val="clear" w:color="auto" w:fill="EFEFEF"/>
          </w:tcPr>
          <w:p>
            <w:pPr>
              <w:pStyle w:val="TableParagraph"/>
              <w:ind w:left="54"/>
              <w:rPr>
                <w:sz w:val="19"/>
              </w:rPr>
            </w:pPr>
            <w:r>
              <w:rPr>
                <w:sz w:val="19"/>
              </w:rPr>
              <w:t>3:</w:t>
            </w:r>
            <w:r>
              <w:rPr>
                <w:spacing w:val="-6"/>
                <w:sz w:val="19"/>
              </w:rPr>
              <w:t> </w:t>
            </w:r>
            <w:r>
              <w:rPr>
                <w:sz w:val="19"/>
              </w:rPr>
              <w:t>Gestión</w:t>
            </w:r>
            <w:r>
              <w:rPr>
                <w:spacing w:val="-4"/>
                <w:sz w:val="19"/>
              </w:rPr>
              <w:t> </w:t>
            </w:r>
            <w:r>
              <w:rPr>
                <w:sz w:val="19"/>
              </w:rPr>
              <w:t>del</w:t>
            </w:r>
            <w:r>
              <w:rPr>
                <w:spacing w:val="-6"/>
                <w:sz w:val="19"/>
              </w:rPr>
              <w:t> </w:t>
            </w:r>
            <w:r>
              <w:rPr>
                <w:sz w:val="19"/>
              </w:rPr>
              <w:t>desarrollo</w:t>
            </w:r>
            <w:r>
              <w:rPr>
                <w:spacing w:val="-6"/>
                <w:sz w:val="19"/>
              </w:rPr>
              <w:t> </w:t>
            </w:r>
            <w:r>
              <w:rPr>
                <w:sz w:val="19"/>
              </w:rPr>
              <w:t>regional</w:t>
            </w:r>
            <w:r>
              <w:rPr>
                <w:spacing w:val="-7"/>
                <w:sz w:val="19"/>
              </w:rPr>
              <w:t> </w:t>
            </w:r>
            <w:r>
              <w:rPr>
                <w:sz w:val="19"/>
              </w:rPr>
              <w:t>e</w:t>
            </w:r>
            <w:r>
              <w:rPr>
                <w:spacing w:val="-5"/>
                <w:sz w:val="19"/>
              </w:rPr>
              <w:t> </w:t>
            </w:r>
            <w:r>
              <w:rPr>
                <w:sz w:val="19"/>
              </w:rPr>
              <w:t>inversión</w:t>
            </w:r>
            <w:r>
              <w:rPr>
                <w:spacing w:val="-6"/>
                <w:sz w:val="19"/>
              </w:rPr>
              <w:t> </w:t>
            </w:r>
            <w:r>
              <w:rPr>
                <w:spacing w:val="-2"/>
                <w:sz w:val="19"/>
              </w:rPr>
              <w:t>social</w:t>
            </w:r>
          </w:p>
        </w:tc>
        <w:tc>
          <w:tcPr>
            <w:tcW w:w="1876" w:type="dxa"/>
            <w:tcBorders>
              <w:left w:val="single" w:sz="8" w:space="0" w:color="9F9F9F"/>
              <w:right w:val="single" w:sz="8" w:space="0" w:color="9F9F9F"/>
            </w:tcBorders>
          </w:tcPr>
          <w:p>
            <w:pPr>
              <w:pStyle w:val="TableParagraph"/>
              <w:spacing w:before="2"/>
              <w:ind w:left="15"/>
              <w:jc w:val="center"/>
              <w:rPr>
                <w:b/>
                <w:sz w:val="18"/>
              </w:rPr>
            </w:pPr>
            <w:r>
              <w:rPr>
                <w:b/>
                <w:spacing w:val="-5"/>
                <w:sz w:val="18"/>
              </w:rPr>
              <w:t>10</w:t>
            </w:r>
          </w:p>
        </w:tc>
        <w:tc>
          <w:tcPr>
            <w:tcW w:w="2176" w:type="dxa"/>
            <w:tcBorders>
              <w:left w:val="single" w:sz="8" w:space="0" w:color="9F9F9F"/>
              <w:right w:val="single" w:sz="8" w:space="0" w:color="9F9F9F"/>
            </w:tcBorders>
          </w:tcPr>
          <w:p>
            <w:pPr>
              <w:pStyle w:val="TableParagraph"/>
              <w:spacing w:before="2"/>
              <w:ind w:left="13"/>
              <w:jc w:val="center"/>
              <w:rPr>
                <w:sz w:val="19"/>
              </w:rPr>
            </w:pPr>
            <w:r>
              <w:rPr>
                <w:spacing w:val="-10"/>
                <w:sz w:val="19"/>
              </w:rPr>
              <w:t>0</w:t>
            </w:r>
          </w:p>
        </w:tc>
        <w:tc>
          <w:tcPr>
            <w:tcW w:w="1651" w:type="dxa"/>
            <w:tcBorders>
              <w:left w:val="single" w:sz="8" w:space="0" w:color="9F9F9F"/>
            </w:tcBorders>
          </w:tcPr>
          <w:p>
            <w:pPr>
              <w:pStyle w:val="TableParagraph"/>
              <w:spacing w:before="2"/>
              <w:ind w:left="12" w:right="6"/>
              <w:jc w:val="center"/>
              <w:rPr>
                <w:sz w:val="19"/>
              </w:rPr>
            </w:pPr>
            <w:r>
              <w:rPr>
                <w:spacing w:val="-10"/>
                <w:sz w:val="19"/>
              </w:rPr>
              <w:t>7</w:t>
            </w:r>
          </w:p>
        </w:tc>
      </w:tr>
      <w:tr>
        <w:trPr>
          <w:trHeight w:val="299" w:hRule="atLeast"/>
        </w:trPr>
        <w:tc>
          <w:tcPr>
            <w:tcW w:w="4503" w:type="dxa"/>
            <w:tcBorders>
              <w:right w:val="single" w:sz="8" w:space="0" w:color="9F9F9F"/>
            </w:tcBorders>
            <w:shd w:val="clear" w:color="auto" w:fill="EFEFEF"/>
          </w:tcPr>
          <w:p>
            <w:pPr>
              <w:pStyle w:val="TableParagraph"/>
              <w:spacing w:before="2"/>
              <w:ind w:left="54"/>
              <w:rPr>
                <w:sz w:val="19"/>
              </w:rPr>
            </w:pPr>
            <w:r>
              <w:rPr>
                <w:sz w:val="19"/>
              </w:rPr>
              <w:t>4:</w:t>
            </w:r>
            <w:r>
              <w:rPr>
                <w:spacing w:val="-4"/>
                <w:sz w:val="19"/>
              </w:rPr>
              <w:t> </w:t>
            </w:r>
            <w:r>
              <w:rPr>
                <w:sz w:val="19"/>
              </w:rPr>
              <w:t>Rectoría</w:t>
            </w:r>
            <w:r>
              <w:rPr>
                <w:spacing w:val="-5"/>
                <w:sz w:val="19"/>
              </w:rPr>
              <w:t> </w:t>
            </w:r>
            <w:r>
              <w:rPr>
                <w:sz w:val="19"/>
              </w:rPr>
              <w:t>Técnica</w:t>
            </w:r>
            <w:r>
              <w:rPr>
                <w:spacing w:val="-5"/>
                <w:sz w:val="19"/>
              </w:rPr>
              <w:t> </w:t>
            </w:r>
            <w:r>
              <w:rPr>
                <w:sz w:val="19"/>
              </w:rPr>
              <w:t>Social</w:t>
            </w:r>
            <w:r>
              <w:rPr>
                <w:spacing w:val="-5"/>
                <w:sz w:val="19"/>
              </w:rPr>
              <w:t> </w:t>
            </w:r>
            <w:r>
              <w:rPr>
                <w:sz w:val="19"/>
              </w:rPr>
              <w:t>y</w:t>
            </w:r>
            <w:r>
              <w:rPr>
                <w:spacing w:val="-3"/>
                <w:sz w:val="19"/>
              </w:rPr>
              <w:t> </w:t>
            </w:r>
            <w:r>
              <w:rPr>
                <w:spacing w:val="-2"/>
                <w:sz w:val="19"/>
              </w:rPr>
              <w:t>Articulación</w:t>
            </w:r>
          </w:p>
        </w:tc>
        <w:tc>
          <w:tcPr>
            <w:tcW w:w="1876" w:type="dxa"/>
            <w:tcBorders>
              <w:left w:val="single" w:sz="8" w:space="0" w:color="9F9F9F"/>
              <w:right w:val="single" w:sz="8" w:space="0" w:color="9F9F9F"/>
            </w:tcBorders>
          </w:tcPr>
          <w:p>
            <w:pPr>
              <w:pStyle w:val="TableParagraph"/>
              <w:spacing w:before="2"/>
              <w:ind w:left="15" w:right="6"/>
              <w:jc w:val="center"/>
              <w:rPr>
                <w:b/>
                <w:sz w:val="18"/>
              </w:rPr>
            </w:pPr>
            <w:r>
              <w:rPr>
                <w:b/>
                <w:spacing w:val="-10"/>
                <w:sz w:val="18"/>
              </w:rPr>
              <w:t>8</w:t>
            </w:r>
          </w:p>
        </w:tc>
        <w:tc>
          <w:tcPr>
            <w:tcW w:w="2176" w:type="dxa"/>
            <w:tcBorders>
              <w:left w:val="single" w:sz="8" w:space="0" w:color="9F9F9F"/>
              <w:right w:val="single" w:sz="8" w:space="0" w:color="9F9F9F"/>
            </w:tcBorders>
          </w:tcPr>
          <w:p>
            <w:pPr>
              <w:pStyle w:val="TableParagraph"/>
              <w:spacing w:before="2"/>
              <w:ind w:left="13"/>
              <w:jc w:val="center"/>
              <w:rPr>
                <w:sz w:val="19"/>
              </w:rPr>
            </w:pPr>
            <w:r>
              <w:rPr>
                <w:spacing w:val="-10"/>
                <w:sz w:val="19"/>
              </w:rPr>
              <w:t>0</w:t>
            </w:r>
          </w:p>
        </w:tc>
        <w:tc>
          <w:tcPr>
            <w:tcW w:w="1651" w:type="dxa"/>
            <w:tcBorders>
              <w:left w:val="single" w:sz="8" w:space="0" w:color="9F9F9F"/>
            </w:tcBorders>
          </w:tcPr>
          <w:p>
            <w:pPr>
              <w:pStyle w:val="TableParagraph"/>
              <w:spacing w:before="2"/>
              <w:ind w:left="12" w:right="6"/>
              <w:jc w:val="center"/>
              <w:rPr>
                <w:sz w:val="19"/>
              </w:rPr>
            </w:pPr>
            <w:r>
              <w:rPr>
                <w:spacing w:val="-10"/>
                <w:sz w:val="19"/>
              </w:rPr>
              <w:t>2</w:t>
            </w:r>
          </w:p>
        </w:tc>
      </w:tr>
      <w:tr>
        <w:trPr>
          <w:trHeight w:val="296" w:hRule="atLeast"/>
        </w:trPr>
        <w:tc>
          <w:tcPr>
            <w:tcW w:w="4503" w:type="dxa"/>
            <w:tcBorders>
              <w:right w:val="single" w:sz="8" w:space="0" w:color="9F9F9F"/>
            </w:tcBorders>
            <w:shd w:val="clear" w:color="auto" w:fill="EFEFEF"/>
          </w:tcPr>
          <w:p>
            <w:pPr>
              <w:pStyle w:val="TableParagraph"/>
              <w:spacing w:before="2"/>
              <w:ind w:left="54"/>
              <w:rPr>
                <w:sz w:val="19"/>
              </w:rPr>
            </w:pPr>
            <w:r>
              <w:rPr>
                <w:sz w:val="19"/>
              </w:rPr>
              <w:t>5:</w:t>
            </w:r>
            <w:r>
              <w:rPr>
                <w:spacing w:val="-6"/>
                <w:sz w:val="19"/>
              </w:rPr>
              <w:t> </w:t>
            </w:r>
            <w:r>
              <w:rPr>
                <w:sz w:val="19"/>
              </w:rPr>
              <w:t>Gestión</w:t>
            </w:r>
            <w:r>
              <w:rPr>
                <w:spacing w:val="-4"/>
                <w:sz w:val="19"/>
              </w:rPr>
              <w:t> </w:t>
            </w:r>
            <w:r>
              <w:rPr>
                <w:sz w:val="19"/>
              </w:rPr>
              <w:t>de</w:t>
            </w:r>
            <w:r>
              <w:rPr>
                <w:spacing w:val="-6"/>
                <w:sz w:val="19"/>
              </w:rPr>
              <w:t> </w:t>
            </w:r>
            <w:r>
              <w:rPr>
                <w:sz w:val="19"/>
              </w:rPr>
              <w:t>recursos</w:t>
            </w:r>
            <w:r>
              <w:rPr>
                <w:spacing w:val="-7"/>
                <w:sz w:val="19"/>
              </w:rPr>
              <w:t> </w:t>
            </w:r>
            <w:r>
              <w:rPr>
                <w:sz w:val="19"/>
              </w:rPr>
              <w:t>y</w:t>
            </w:r>
            <w:r>
              <w:rPr>
                <w:spacing w:val="-4"/>
                <w:sz w:val="19"/>
              </w:rPr>
              <w:t> </w:t>
            </w:r>
            <w:r>
              <w:rPr>
                <w:sz w:val="19"/>
              </w:rPr>
              <w:t>alianzas</w:t>
            </w:r>
            <w:r>
              <w:rPr>
                <w:spacing w:val="-5"/>
                <w:sz w:val="19"/>
              </w:rPr>
              <w:t> </w:t>
            </w:r>
            <w:r>
              <w:rPr>
                <w:spacing w:val="-2"/>
                <w:sz w:val="19"/>
              </w:rPr>
              <w:t>estratégicas</w:t>
            </w:r>
          </w:p>
        </w:tc>
        <w:tc>
          <w:tcPr>
            <w:tcW w:w="1876" w:type="dxa"/>
            <w:tcBorders>
              <w:left w:val="single" w:sz="8" w:space="0" w:color="9F9F9F"/>
              <w:bottom w:val="single" w:sz="8" w:space="0" w:color="9F9F9F"/>
              <w:right w:val="single" w:sz="8" w:space="0" w:color="9F9F9F"/>
            </w:tcBorders>
          </w:tcPr>
          <w:p>
            <w:pPr>
              <w:pStyle w:val="TableParagraph"/>
              <w:spacing w:before="2"/>
              <w:ind w:left="15"/>
              <w:jc w:val="center"/>
              <w:rPr>
                <w:b/>
                <w:sz w:val="18"/>
              </w:rPr>
            </w:pPr>
            <w:r>
              <w:rPr>
                <w:b/>
                <w:spacing w:val="-5"/>
                <w:sz w:val="18"/>
              </w:rPr>
              <w:t>10</w:t>
            </w:r>
          </w:p>
        </w:tc>
        <w:tc>
          <w:tcPr>
            <w:tcW w:w="2176" w:type="dxa"/>
            <w:tcBorders>
              <w:left w:val="single" w:sz="8" w:space="0" w:color="9F9F9F"/>
              <w:bottom w:val="single" w:sz="8" w:space="0" w:color="9F9F9F"/>
              <w:right w:val="single" w:sz="8" w:space="0" w:color="9F9F9F"/>
            </w:tcBorders>
          </w:tcPr>
          <w:p>
            <w:pPr>
              <w:pStyle w:val="TableParagraph"/>
              <w:spacing w:before="2"/>
              <w:ind w:left="13"/>
              <w:jc w:val="center"/>
              <w:rPr>
                <w:sz w:val="19"/>
              </w:rPr>
            </w:pPr>
            <w:r>
              <w:rPr>
                <w:spacing w:val="-10"/>
                <w:sz w:val="19"/>
              </w:rPr>
              <w:t>0</w:t>
            </w:r>
          </w:p>
        </w:tc>
        <w:tc>
          <w:tcPr>
            <w:tcW w:w="1651" w:type="dxa"/>
            <w:tcBorders>
              <w:left w:val="single" w:sz="8" w:space="0" w:color="9F9F9F"/>
              <w:bottom w:val="single" w:sz="8" w:space="0" w:color="9F9F9F"/>
            </w:tcBorders>
          </w:tcPr>
          <w:p>
            <w:pPr>
              <w:pStyle w:val="TableParagraph"/>
              <w:spacing w:before="2"/>
              <w:ind w:left="12" w:right="6"/>
              <w:jc w:val="center"/>
              <w:rPr>
                <w:sz w:val="19"/>
              </w:rPr>
            </w:pPr>
            <w:r>
              <w:rPr>
                <w:spacing w:val="-10"/>
                <w:sz w:val="19"/>
              </w:rPr>
              <w:t>4</w:t>
            </w:r>
          </w:p>
        </w:tc>
      </w:tr>
      <w:tr>
        <w:trPr>
          <w:trHeight w:val="299" w:hRule="atLeast"/>
        </w:trPr>
        <w:tc>
          <w:tcPr>
            <w:tcW w:w="4503" w:type="dxa"/>
            <w:tcBorders>
              <w:right w:val="single" w:sz="8" w:space="0" w:color="9F9F9F"/>
            </w:tcBorders>
            <w:shd w:val="clear" w:color="auto" w:fill="EFEFEF"/>
          </w:tcPr>
          <w:p>
            <w:pPr>
              <w:pStyle w:val="TableParagraph"/>
              <w:ind w:left="54"/>
              <w:rPr>
                <w:sz w:val="19"/>
              </w:rPr>
            </w:pPr>
            <w:r>
              <w:rPr>
                <w:sz w:val="19"/>
              </w:rPr>
              <w:t>6:</w:t>
            </w:r>
            <w:r>
              <w:rPr>
                <w:spacing w:val="-7"/>
                <w:sz w:val="19"/>
              </w:rPr>
              <w:t> </w:t>
            </w:r>
            <w:r>
              <w:rPr>
                <w:sz w:val="19"/>
              </w:rPr>
              <w:t>Gestión</w:t>
            </w:r>
            <w:r>
              <w:rPr>
                <w:spacing w:val="-5"/>
                <w:sz w:val="19"/>
              </w:rPr>
              <w:t> </w:t>
            </w:r>
            <w:r>
              <w:rPr>
                <w:sz w:val="19"/>
              </w:rPr>
              <w:t>de</w:t>
            </w:r>
            <w:r>
              <w:rPr>
                <w:spacing w:val="-7"/>
                <w:sz w:val="19"/>
              </w:rPr>
              <w:t> </w:t>
            </w:r>
            <w:r>
              <w:rPr>
                <w:sz w:val="19"/>
              </w:rPr>
              <w:t>Desarrollo</w:t>
            </w:r>
            <w:r>
              <w:rPr>
                <w:spacing w:val="-5"/>
                <w:sz w:val="19"/>
              </w:rPr>
              <w:t> </w:t>
            </w:r>
            <w:r>
              <w:rPr>
                <w:spacing w:val="-2"/>
                <w:sz w:val="19"/>
              </w:rPr>
              <w:t>Humano</w:t>
            </w:r>
          </w:p>
        </w:tc>
        <w:tc>
          <w:tcPr>
            <w:tcW w:w="1876" w:type="dxa"/>
            <w:tcBorders>
              <w:top w:val="single" w:sz="8" w:space="0" w:color="9F9F9F"/>
              <w:left w:val="single" w:sz="8" w:space="0" w:color="9F9F9F"/>
              <w:right w:val="single" w:sz="8" w:space="0" w:color="9F9F9F"/>
            </w:tcBorders>
          </w:tcPr>
          <w:p>
            <w:pPr>
              <w:pStyle w:val="TableParagraph"/>
              <w:spacing w:line="207" w:lineRule="exact"/>
              <w:ind w:left="15" w:right="6"/>
              <w:jc w:val="center"/>
              <w:rPr>
                <w:b/>
                <w:sz w:val="18"/>
              </w:rPr>
            </w:pPr>
            <w:r>
              <w:rPr>
                <w:b/>
                <w:spacing w:val="-10"/>
                <w:sz w:val="18"/>
              </w:rPr>
              <w:t>1</w:t>
            </w:r>
          </w:p>
        </w:tc>
        <w:tc>
          <w:tcPr>
            <w:tcW w:w="2176" w:type="dxa"/>
            <w:tcBorders>
              <w:top w:val="single" w:sz="8" w:space="0" w:color="9F9F9F"/>
              <w:left w:val="single" w:sz="8" w:space="0" w:color="9F9F9F"/>
              <w:right w:val="single" w:sz="8" w:space="0" w:color="9F9F9F"/>
            </w:tcBorders>
          </w:tcPr>
          <w:p>
            <w:pPr>
              <w:pStyle w:val="TableParagraph"/>
              <w:ind w:left="13"/>
              <w:jc w:val="center"/>
              <w:rPr>
                <w:sz w:val="19"/>
              </w:rPr>
            </w:pPr>
            <w:r>
              <w:rPr>
                <w:spacing w:val="-10"/>
                <w:sz w:val="19"/>
              </w:rPr>
              <w:t>0</w:t>
            </w:r>
          </w:p>
        </w:tc>
        <w:tc>
          <w:tcPr>
            <w:tcW w:w="1651" w:type="dxa"/>
            <w:tcBorders>
              <w:top w:val="single" w:sz="8" w:space="0" w:color="9F9F9F"/>
              <w:left w:val="single" w:sz="8" w:space="0" w:color="9F9F9F"/>
            </w:tcBorders>
          </w:tcPr>
          <w:p>
            <w:pPr>
              <w:pStyle w:val="TableParagraph"/>
              <w:ind w:left="12" w:right="6"/>
              <w:jc w:val="center"/>
              <w:rPr>
                <w:sz w:val="19"/>
              </w:rPr>
            </w:pPr>
            <w:r>
              <w:rPr>
                <w:spacing w:val="-10"/>
                <w:sz w:val="19"/>
              </w:rPr>
              <w:t>0</w:t>
            </w:r>
          </w:p>
        </w:tc>
      </w:tr>
      <w:tr>
        <w:trPr>
          <w:trHeight w:val="299" w:hRule="atLeast"/>
        </w:trPr>
        <w:tc>
          <w:tcPr>
            <w:tcW w:w="4503" w:type="dxa"/>
            <w:tcBorders>
              <w:right w:val="single" w:sz="8" w:space="0" w:color="9F9F9F"/>
            </w:tcBorders>
            <w:shd w:val="clear" w:color="auto" w:fill="C6C6C6"/>
          </w:tcPr>
          <w:p>
            <w:pPr>
              <w:pStyle w:val="TableParagraph"/>
              <w:spacing w:before="2"/>
              <w:ind w:left="54"/>
              <w:rPr>
                <w:sz w:val="19"/>
              </w:rPr>
            </w:pPr>
            <w:r>
              <w:rPr>
                <w:sz w:val="19"/>
              </w:rPr>
              <w:t>Total,</w:t>
            </w:r>
            <w:r>
              <w:rPr>
                <w:spacing w:val="-5"/>
                <w:sz w:val="19"/>
              </w:rPr>
              <w:t> </w:t>
            </w:r>
            <w:r>
              <w:rPr>
                <w:spacing w:val="-2"/>
                <w:sz w:val="19"/>
              </w:rPr>
              <w:t>General</w:t>
            </w:r>
          </w:p>
        </w:tc>
        <w:tc>
          <w:tcPr>
            <w:tcW w:w="1876" w:type="dxa"/>
            <w:tcBorders>
              <w:left w:val="single" w:sz="8" w:space="0" w:color="9F9F9F"/>
              <w:right w:val="single" w:sz="8" w:space="0" w:color="9F9F9F"/>
            </w:tcBorders>
          </w:tcPr>
          <w:p>
            <w:pPr>
              <w:pStyle w:val="TableParagraph"/>
              <w:spacing w:before="2"/>
              <w:ind w:left="15"/>
              <w:jc w:val="center"/>
              <w:rPr>
                <w:b/>
                <w:sz w:val="18"/>
              </w:rPr>
            </w:pPr>
            <w:r>
              <w:rPr>
                <w:b/>
                <w:spacing w:val="-5"/>
                <w:sz w:val="18"/>
              </w:rPr>
              <w:t>49</w:t>
            </w:r>
          </w:p>
        </w:tc>
        <w:tc>
          <w:tcPr>
            <w:tcW w:w="2176" w:type="dxa"/>
            <w:tcBorders>
              <w:left w:val="single" w:sz="8" w:space="0" w:color="9F9F9F"/>
              <w:right w:val="single" w:sz="8" w:space="0" w:color="9F9F9F"/>
            </w:tcBorders>
          </w:tcPr>
          <w:p>
            <w:pPr>
              <w:pStyle w:val="TableParagraph"/>
              <w:spacing w:before="2"/>
              <w:ind w:left="13"/>
              <w:jc w:val="center"/>
              <w:rPr>
                <w:sz w:val="19"/>
              </w:rPr>
            </w:pPr>
            <w:r>
              <w:rPr>
                <w:spacing w:val="-10"/>
                <w:sz w:val="19"/>
              </w:rPr>
              <w:t>1</w:t>
            </w:r>
          </w:p>
        </w:tc>
        <w:tc>
          <w:tcPr>
            <w:tcW w:w="1651" w:type="dxa"/>
            <w:tcBorders>
              <w:left w:val="single" w:sz="8" w:space="0" w:color="9F9F9F"/>
            </w:tcBorders>
          </w:tcPr>
          <w:p>
            <w:pPr>
              <w:pStyle w:val="TableParagraph"/>
              <w:spacing w:before="2"/>
              <w:ind w:left="12"/>
              <w:jc w:val="center"/>
              <w:rPr>
                <w:sz w:val="19"/>
              </w:rPr>
            </w:pPr>
            <w:r>
              <w:rPr>
                <w:spacing w:val="-5"/>
                <w:sz w:val="19"/>
              </w:rPr>
              <w:t>26</w:t>
            </w:r>
          </w:p>
        </w:tc>
      </w:tr>
    </w:tbl>
    <w:p>
      <w:pPr>
        <w:spacing w:before="20"/>
        <w:ind w:left="208" w:right="0" w:firstLine="0"/>
        <w:jc w:val="left"/>
        <w:rPr>
          <w:rFonts w:ascii="Times New Roman"/>
          <w:b/>
          <w:sz w:val="18"/>
        </w:rPr>
      </w:pPr>
      <w:r>
        <w:rPr>
          <w:rFonts w:ascii="Times New Roman"/>
          <w:b/>
          <w:sz w:val="18"/>
        </w:rPr>
        <w:t>Fuente:</w:t>
      </w:r>
      <w:r>
        <w:rPr>
          <w:rFonts w:ascii="Times New Roman"/>
          <w:b/>
          <w:spacing w:val="59"/>
          <w:w w:val="150"/>
          <w:sz w:val="18"/>
        </w:rPr>
        <w:t> </w:t>
      </w:r>
      <w:r>
        <w:rPr>
          <w:rFonts w:ascii="Times New Roman"/>
          <w:b/>
          <w:sz w:val="18"/>
        </w:rPr>
        <w:t>IMAS</w:t>
      </w:r>
      <w:r>
        <w:rPr>
          <w:rFonts w:ascii="Times New Roman"/>
          <w:b/>
          <w:spacing w:val="75"/>
          <w:sz w:val="18"/>
        </w:rPr>
        <w:t> </w:t>
      </w:r>
      <w:r>
        <w:rPr>
          <w:rFonts w:ascii="Times New Roman"/>
          <w:b/>
          <w:sz w:val="18"/>
        </w:rPr>
        <w:t>PEI</w:t>
      </w:r>
      <w:r>
        <w:rPr>
          <w:rFonts w:ascii="Times New Roman"/>
          <w:b/>
          <w:spacing w:val="-2"/>
          <w:sz w:val="18"/>
        </w:rPr>
        <w:t> </w:t>
      </w:r>
      <w:r>
        <w:rPr>
          <w:rFonts w:ascii="Times New Roman"/>
          <w:b/>
          <w:sz w:val="18"/>
        </w:rPr>
        <w:t>2023</w:t>
      </w:r>
      <w:r>
        <w:rPr>
          <w:rFonts w:ascii="Times New Roman"/>
          <w:b/>
          <w:spacing w:val="1"/>
          <w:sz w:val="18"/>
        </w:rPr>
        <w:t> </w:t>
      </w:r>
      <w:r>
        <w:rPr>
          <w:rFonts w:ascii="Times New Roman"/>
          <w:b/>
          <w:sz w:val="18"/>
        </w:rPr>
        <w:t>-</w:t>
      </w:r>
      <w:r>
        <w:rPr>
          <w:rFonts w:ascii="Times New Roman"/>
          <w:b/>
          <w:spacing w:val="-3"/>
          <w:sz w:val="18"/>
        </w:rPr>
        <w:t> </w:t>
      </w:r>
      <w:r>
        <w:rPr>
          <w:rFonts w:ascii="Times New Roman"/>
          <w:b/>
          <w:spacing w:val="-4"/>
          <w:sz w:val="18"/>
        </w:rPr>
        <w:t>2028</w:t>
      </w:r>
    </w:p>
    <w:p>
      <w:pPr>
        <w:spacing w:after="0"/>
        <w:jc w:val="left"/>
        <w:rPr>
          <w:rFonts w:ascii="Times New Roman"/>
          <w:b/>
          <w:sz w:val="18"/>
        </w:rPr>
        <w:sectPr>
          <w:headerReference w:type="default" r:id="rId12"/>
          <w:footerReference w:type="default" r:id="rId13"/>
          <w:pgSz w:w="13370" w:h="17280"/>
          <w:pgMar w:header="476" w:footer="969" w:top="1040" w:bottom="1160" w:left="1275" w:right="992"/>
        </w:sectPr>
      </w:pPr>
    </w:p>
    <w:p>
      <w:pPr>
        <w:pStyle w:val="Heading4"/>
        <w:tabs>
          <w:tab w:pos="2030" w:val="left" w:leader="none"/>
        </w:tabs>
        <w:spacing w:line="237" w:lineRule="auto"/>
        <w:ind w:right="5203"/>
      </w:pPr>
      <w:r>
        <w:rPr/>
        <mc:AlternateContent>
          <mc:Choice Requires="wps">
            <w:drawing>
              <wp:anchor distT="0" distB="0" distL="0" distR="0" allowOverlap="1" layoutInCell="1" locked="0" behindDoc="0" simplePos="0" relativeHeight="15732224">
                <wp:simplePos x="0" y="0"/>
                <wp:positionH relativeFrom="page">
                  <wp:posOffset>5261030</wp:posOffset>
                </wp:positionH>
                <wp:positionV relativeFrom="paragraph">
                  <wp:posOffset>18237</wp:posOffset>
                </wp:positionV>
                <wp:extent cx="1934210" cy="59817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934210" cy="598170"/>
                          <a:chExt cx="1934210" cy="598170"/>
                        </a:xfrm>
                      </wpg:grpSpPr>
                      <pic:pic>
                        <pic:nvPicPr>
                          <pic:cNvPr id="20" name="Image 20"/>
                          <pic:cNvPicPr/>
                        </pic:nvPicPr>
                        <pic:blipFill>
                          <a:blip r:embed="rId17" cstate="print"/>
                          <a:stretch>
                            <a:fillRect/>
                          </a:stretch>
                        </pic:blipFill>
                        <pic:spPr>
                          <a:xfrm>
                            <a:off x="0" y="321015"/>
                            <a:ext cx="1934114" cy="276697"/>
                          </a:xfrm>
                          <a:prstGeom prst="rect">
                            <a:avLst/>
                          </a:prstGeom>
                        </pic:spPr>
                      </pic:pic>
                      <wps:wsp>
                        <wps:cNvPr id="21" name="Graphic 21"/>
                        <wps:cNvSpPr/>
                        <wps:spPr>
                          <a:xfrm>
                            <a:off x="910915" y="0"/>
                            <a:ext cx="12700" cy="398145"/>
                          </a:xfrm>
                          <a:custGeom>
                            <a:avLst/>
                            <a:gdLst/>
                            <a:ahLst/>
                            <a:cxnLst/>
                            <a:rect l="l" t="t" r="r" b="b"/>
                            <a:pathLst>
                              <a:path w="12700" h="398145">
                                <a:moveTo>
                                  <a:pt x="3035" y="0"/>
                                </a:moveTo>
                                <a:lnTo>
                                  <a:pt x="0" y="0"/>
                                </a:lnTo>
                                <a:lnTo>
                                  <a:pt x="0" y="398068"/>
                                </a:lnTo>
                                <a:lnTo>
                                  <a:pt x="3035" y="398068"/>
                                </a:lnTo>
                                <a:lnTo>
                                  <a:pt x="3035" y="0"/>
                                </a:lnTo>
                                <a:close/>
                              </a:path>
                              <a:path w="12700" h="398145">
                                <a:moveTo>
                                  <a:pt x="12179" y="0"/>
                                </a:moveTo>
                                <a:lnTo>
                                  <a:pt x="9144" y="0"/>
                                </a:lnTo>
                                <a:lnTo>
                                  <a:pt x="9144" y="398068"/>
                                </a:lnTo>
                                <a:lnTo>
                                  <a:pt x="12179" y="398068"/>
                                </a:lnTo>
                                <a:lnTo>
                                  <a:pt x="12179" y="0"/>
                                </a:lnTo>
                                <a:close/>
                              </a:path>
                            </a:pathLst>
                          </a:custGeom>
                          <a:solidFill>
                            <a:srgbClr val="FFFFFF"/>
                          </a:solidFill>
                        </wps:spPr>
                        <wps:bodyPr wrap="square" lIns="0" tIns="0" rIns="0" bIns="0" rtlCol="0">
                          <a:prstTxWarp prst="textNoShape">
                            <a:avLst/>
                          </a:prstTxWarp>
                          <a:noAutofit/>
                        </wps:bodyPr>
                      </wps:wsp>
                      <wps:wsp>
                        <wps:cNvPr id="22" name="Textbox 22"/>
                        <wps:cNvSpPr txBox="1"/>
                        <wps:spPr>
                          <a:xfrm>
                            <a:off x="0" y="0"/>
                            <a:ext cx="1934210" cy="598170"/>
                          </a:xfrm>
                          <a:prstGeom prst="rect">
                            <a:avLst/>
                          </a:prstGeom>
                        </wps:spPr>
                        <wps:txbx>
                          <w:txbxContent>
                            <w:p>
                              <w:pPr>
                                <w:spacing w:before="1"/>
                                <w:ind w:left="905" w:right="0" w:firstLine="0"/>
                                <w:jc w:val="left"/>
                                <w:rPr>
                                  <w:rFonts w:ascii="Times New Roman"/>
                                  <w:b/>
                                  <w:sz w:val="22"/>
                                </w:rPr>
                              </w:pPr>
                              <w:r>
                                <w:rPr>
                                  <w:rFonts w:ascii="Times New Roman"/>
                                  <w:b/>
                                  <w:sz w:val="22"/>
                                </w:rPr>
                                <w:t>60,76</w:t>
                              </w:r>
                              <w:r>
                                <w:rPr>
                                  <w:rFonts w:ascii="Times New Roman"/>
                                  <w:b/>
                                  <w:spacing w:val="29"/>
                                  <w:sz w:val="22"/>
                                </w:rPr>
                                <w:t> </w:t>
                              </w:r>
                              <w:r>
                                <w:rPr>
                                  <w:rFonts w:ascii="Times New Roman"/>
                                  <w:b/>
                                  <w:spacing w:val="-10"/>
                                  <w:sz w:val="22"/>
                                </w:rPr>
                                <w:t>%</w:t>
                              </w:r>
                            </w:p>
                          </w:txbxContent>
                        </wps:txbx>
                        <wps:bodyPr wrap="square" lIns="0" tIns="0" rIns="0" bIns="0" rtlCol="0">
                          <a:noAutofit/>
                        </wps:bodyPr>
                      </wps:wsp>
                    </wpg:wgp>
                  </a:graphicData>
                </a:graphic>
              </wp:anchor>
            </w:drawing>
          </mc:Choice>
          <mc:Fallback>
            <w:pict>
              <v:group style="position:absolute;margin-left:414.254395pt;margin-top:1.436pt;width:152.3pt;height:47.1pt;mso-position-horizontal-relative:page;mso-position-vertical-relative:paragraph;z-index:15732224" id="docshapegroup10" coordorigin="8285,29" coordsize="3046,942">
                <v:shape style="position:absolute;left:8285;top:534;width:3046;height:436" type="#_x0000_t75" id="docshape11" stroked="false">
                  <v:imagedata r:id="rId17" o:title=""/>
                </v:shape>
                <v:shape style="position:absolute;left:9719;top:28;width:20;height:627" id="docshape12" coordorigin="9720,29" coordsize="20,627" path="m9724,29l9720,29,9720,656,9724,656,9724,29xm9739,29l9734,29,9734,656,9739,656,9739,29xe" filled="true" fillcolor="#ffffff" stroked="false">
                  <v:path arrowok="t"/>
                  <v:fill type="solid"/>
                </v:shape>
                <v:shape style="position:absolute;left:8285;top:28;width:3046;height:942" type="#_x0000_t202" id="docshape13" filled="false" stroked="false">
                  <v:textbox inset="0,0,0,0">
                    <w:txbxContent>
                      <w:p>
                        <w:pPr>
                          <w:spacing w:before="1"/>
                          <w:ind w:left="905" w:right="0" w:firstLine="0"/>
                          <w:jc w:val="left"/>
                          <w:rPr>
                            <w:rFonts w:ascii="Times New Roman"/>
                            <w:b/>
                            <w:sz w:val="22"/>
                          </w:rPr>
                        </w:pPr>
                        <w:r>
                          <w:rPr>
                            <w:rFonts w:ascii="Times New Roman"/>
                            <w:b/>
                            <w:sz w:val="22"/>
                          </w:rPr>
                          <w:t>60,76</w:t>
                        </w:r>
                        <w:r>
                          <w:rPr>
                            <w:rFonts w:ascii="Times New Roman"/>
                            <w:b/>
                            <w:spacing w:val="29"/>
                            <w:sz w:val="22"/>
                          </w:rPr>
                          <w:t> </w:t>
                        </w:r>
                        <w:r>
                          <w:rPr>
                            <w:rFonts w:ascii="Times New Roman"/>
                            <w:b/>
                            <w:spacing w:val="-10"/>
                            <w:sz w:val="22"/>
                          </w:rPr>
                          <w:t>%</w:t>
                        </w:r>
                      </w:p>
                    </w:txbxContent>
                  </v:textbox>
                  <w10:wrap type="none"/>
                </v:shape>
                <w10:wrap type="none"/>
              </v:group>
            </w:pict>
          </mc:Fallback>
        </mc:AlternateContent>
      </w:r>
      <w:r>
        <w:rPr>
          <w:spacing w:val="-4"/>
        </w:rPr>
        <w:t>Eje:</w:t>
      </w:r>
      <w:r>
        <w:rPr/>
        <w:tab/>
        <w:t>1:</w:t>
      </w:r>
      <w:r>
        <w:rPr>
          <w:spacing w:val="-8"/>
        </w:rPr>
        <w:t> </w:t>
      </w:r>
      <w:r>
        <w:rPr/>
        <w:t>Gestión</w:t>
      </w:r>
      <w:r>
        <w:rPr>
          <w:spacing w:val="-6"/>
        </w:rPr>
        <w:t> </w:t>
      </w:r>
      <w:r>
        <w:rPr/>
        <w:t>del</w:t>
      </w:r>
      <w:r>
        <w:rPr>
          <w:spacing w:val="-8"/>
        </w:rPr>
        <w:t> </w:t>
      </w:r>
      <w:r>
        <w:rPr/>
        <w:t>cambio</w:t>
      </w:r>
      <w:r>
        <w:rPr>
          <w:spacing w:val="-6"/>
        </w:rPr>
        <w:t> </w:t>
      </w:r>
      <w:r>
        <w:rPr/>
        <w:t>e</w:t>
      </w:r>
      <w:r>
        <w:rPr>
          <w:spacing w:val="-8"/>
        </w:rPr>
        <w:t> </w:t>
      </w:r>
      <w:r>
        <w:rPr/>
        <w:t>innovación </w:t>
      </w:r>
      <w:r>
        <w:rPr>
          <w:spacing w:val="-2"/>
        </w:rPr>
        <w:t>Institucional</w:t>
      </w:r>
    </w:p>
    <w:p>
      <w:pPr>
        <w:pStyle w:val="BodyText"/>
        <w:spacing w:before="33"/>
        <w:rPr>
          <w:rFonts w:ascii="Times New Roman"/>
          <w:b/>
          <w:sz w:val="19"/>
        </w:rPr>
      </w:pPr>
    </w:p>
    <w:p>
      <w:pPr>
        <w:pStyle w:val="ListParagraph"/>
        <w:numPr>
          <w:ilvl w:val="0"/>
          <w:numId w:val="4"/>
        </w:numPr>
        <w:tabs>
          <w:tab w:pos="426" w:val="left" w:leader="none"/>
        </w:tabs>
        <w:spacing w:line="240" w:lineRule="auto" w:before="0" w:after="0"/>
        <w:ind w:left="426" w:right="0" w:hanging="179"/>
        <w:jc w:val="left"/>
        <w:rPr>
          <w:rFonts w:ascii="Times New Roman"/>
          <w:sz w:val="19"/>
        </w:rPr>
      </w:pP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4"/>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1:</w:t>
      </w:r>
      <w:r>
        <w:rPr>
          <w:rFonts w:ascii="Times New Roman" w:hAnsi="Times New Roman"/>
          <w:b/>
          <w:spacing w:val="-2"/>
          <w:sz w:val="18"/>
        </w:rPr>
        <w:t> </w:t>
      </w:r>
      <w:r>
        <w:rPr>
          <w:rFonts w:ascii="Times New Roman" w:hAnsi="Times New Roman"/>
          <w:b/>
          <w:sz w:val="18"/>
        </w:rPr>
        <w:t>Gestión</w:t>
      </w:r>
      <w:r>
        <w:rPr>
          <w:rFonts w:ascii="Times New Roman" w:hAnsi="Times New Roman"/>
          <w:b/>
          <w:spacing w:val="-1"/>
          <w:sz w:val="18"/>
        </w:rPr>
        <w:t> </w:t>
      </w:r>
      <w:r>
        <w:rPr>
          <w:rFonts w:ascii="Times New Roman" w:hAnsi="Times New Roman"/>
          <w:b/>
          <w:sz w:val="18"/>
        </w:rPr>
        <w:t>del</w:t>
      </w:r>
      <w:r>
        <w:rPr>
          <w:rFonts w:ascii="Times New Roman" w:hAnsi="Times New Roman"/>
          <w:b/>
          <w:spacing w:val="-2"/>
          <w:sz w:val="18"/>
        </w:rPr>
        <w:t> </w:t>
      </w:r>
      <w:r>
        <w:rPr>
          <w:rFonts w:ascii="Times New Roman" w:hAnsi="Times New Roman"/>
          <w:b/>
          <w:sz w:val="18"/>
        </w:rPr>
        <w:t>cambio</w:t>
      </w:r>
      <w:r>
        <w:rPr>
          <w:rFonts w:ascii="Times New Roman" w:hAnsi="Times New Roman"/>
          <w:b/>
          <w:spacing w:val="-1"/>
          <w:sz w:val="18"/>
        </w:rPr>
        <w:t> </w:t>
      </w:r>
      <w:r>
        <w:rPr>
          <w:rFonts w:ascii="Times New Roman" w:hAnsi="Times New Roman"/>
          <w:b/>
          <w:sz w:val="18"/>
        </w:rPr>
        <w:t>e</w:t>
      </w:r>
      <w:r>
        <w:rPr>
          <w:rFonts w:ascii="Times New Roman" w:hAnsi="Times New Roman"/>
          <w:b/>
          <w:spacing w:val="-3"/>
          <w:sz w:val="18"/>
        </w:rPr>
        <w:t> </w:t>
      </w:r>
      <w:r>
        <w:rPr>
          <w:rFonts w:ascii="Times New Roman" w:hAnsi="Times New Roman"/>
          <w:b/>
          <w:sz w:val="18"/>
        </w:rPr>
        <w:t>innovación</w:t>
      </w:r>
      <w:r>
        <w:rPr>
          <w:rFonts w:ascii="Times New Roman" w:hAnsi="Times New Roman"/>
          <w:b/>
          <w:spacing w:val="-1"/>
          <w:sz w:val="18"/>
        </w:rPr>
        <w:t> </w:t>
      </w:r>
      <w:r>
        <w:rPr>
          <w:rFonts w:ascii="Times New Roman" w:hAnsi="Times New Roman"/>
          <w:b/>
          <w:spacing w:val="-2"/>
          <w:sz w:val="18"/>
        </w:rPr>
        <w:t>Institucional</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60"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left="6" w:right="983"/>
              <w:jc w:val="center"/>
              <w:rPr>
                <w:sz w:val="19"/>
              </w:rPr>
            </w:pPr>
            <w:r>
              <w:rPr>
                <w:spacing w:val="-5"/>
                <w:sz w:val="19"/>
              </w:rPr>
              <w:t>30</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left="6" w:right="983"/>
              <w:jc w:val="center"/>
              <w:rPr>
                <w:sz w:val="19"/>
              </w:rPr>
            </w:pPr>
            <w:r>
              <w:rPr>
                <w:spacing w:val="-5"/>
                <w:sz w:val="19"/>
              </w:rPr>
              <w:t>17</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1</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left="6" w:right="983"/>
              <w:jc w:val="center"/>
              <w:rPr>
                <w:sz w:val="19"/>
              </w:rPr>
            </w:pPr>
            <w:r>
              <w:rPr>
                <w:spacing w:val="-5"/>
                <w:sz w:val="19"/>
              </w:rPr>
              <w:t>12</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0912">
                <wp:simplePos x="0" y="0"/>
                <wp:positionH relativeFrom="page">
                  <wp:posOffset>1106728</wp:posOffset>
                </wp:positionH>
                <wp:positionV relativeFrom="paragraph">
                  <wp:posOffset>301383</wp:posOffset>
                </wp:positionV>
                <wp:extent cx="6210300" cy="156273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3097pt;width:489pt;height:123.05pt;mso-position-horizontal-relative:page;mso-position-vertical-relative:paragraph;z-index:-15725568;mso-wrap-distance-left:0;mso-wrap-distance-right:0" id="docshape14"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rPr>
          <w:rFonts w:ascii="Times New Roman"/>
          <w:b/>
          <w:sz w:val="18"/>
        </w:rPr>
      </w:pPr>
    </w:p>
    <w:p>
      <w:pPr>
        <w:pStyle w:val="BodyText"/>
        <w:spacing w:before="37"/>
        <w:rPr>
          <w:rFonts w:ascii="Times New Roman"/>
          <w:b/>
          <w:sz w:val="18"/>
        </w:rPr>
      </w:pPr>
    </w:p>
    <w:p>
      <w:pPr>
        <w:spacing w:before="0"/>
        <w:ind w:left="239" w:right="0" w:firstLine="0"/>
        <w:jc w:val="left"/>
        <w:rPr>
          <w:rFonts w:ascii="Times New Roman" w:hAnsi="Times New Roman"/>
          <w:sz w:val="19"/>
        </w:rPr>
      </w:pPr>
      <w:r>
        <w:rPr>
          <w:rFonts w:ascii="Times New Roman" w:hAnsi="Times New Roman"/>
          <w:sz w:val="19"/>
        </w:rPr>
        <w:drawing>
          <wp:anchor distT="0" distB="0" distL="0" distR="0" allowOverlap="1" layoutInCell="1" locked="0" behindDoc="1" simplePos="0" relativeHeight="486288384">
            <wp:simplePos x="0" y="0"/>
            <wp:positionH relativeFrom="page">
              <wp:posOffset>1210317</wp:posOffset>
            </wp:positionH>
            <wp:positionV relativeFrom="paragraph">
              <wp:posOffset>-1763722</wp:posOffset>
            </wp:positionV>
            <wp:extent cx="5979852" cy="1390650"/>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18" cstate="print"/>
                    <a:stretch>
                      <a:fillRect/>
                    </a:stretch>
                  </pic:blipFill>
                  <pic:spPr>
                    <a:xfrm>
                      <a:off x="0" y="0"/>
                      <a:ext cx="5979852" cy="1390650"/>
                    </a:xfrm>
                    <a:prstGeom prst="rect">
                      <a:avLst/>
                    </a:prstGeom>
                  </pic:spPr>
                </pic:pic>
              </a:graphicData>
            </a:graphic>
          </wp:anchor>
        </w:drawing>
      </w:r>
      <w:r>
        <w:rPr>
          <w:rFonts w:ascii="Times New Roman" w:hAnsi="Times New Roman"/>
          <w:sz w:val="19"/>
        </w:rPr>
        <w:t>A</w:t>
      </w:r>
      <w:r>
        <w:rPr>
          <w:rFonts w:ascii="Times New Roman" w:hAnsi="Times New Roman"/>
          <w:spacing w:val="-6"/>
          <w:sz w:val="19"/>
        </w:rPr>
        <w:t> </w:t>
      </w:r>
      <w:r>
        <w:rPr>
          <w:rFonts w:ascii="Times New Roman" w:hAnsi="Times New Roman"/>
          <w:sz w:val="19"/>
        </w:rPr>
        <w:t>continuación,</w:t>
      </w:r>
      <w:r>
        <w:rPr>
          <w:rFonts w:ascii="Times New Roman" w:hAnsi="Times New Roman"/>
          <w:spacing w:val="-7"/>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5"/>
          <w:sz w:val="19"/>
        </w:rPr>
        <w:t> </w:t>
      </w:r>
      <w:r>
        <w:rPr>
          <w:rFonts w:ascii="Times New Roman" w:hAnsi="Times New Roman"/>
          <w:sz w:val="19"/>
        </w:rPr>
        <w:t>las</w:t>
      </w:r>
      <w:r>
        <w:rPr>
          <w:rFonts w:ascii="Times New Roman" w:hAnsi="Times New Roman"/>
          <w:spacing w:val="-6"/>
          <w:sz w:val="19"/>
        </w:rPr>
        <w:t> </w:t>
      </w:r>
      <w:r>
        <w:rPr>
          <w:rFonts w:ascii="Times New Roman" w:hAnsi="Times New Roman"/>
          <w:sz w:val="19"/>
        </w:rPr>
        <w:t>metas</w:t>
      </w:r>
      <w:r>
        <w:rPr>
          <w:rFonts w:ascii="Times New Roman" w:hAnsi="Times New Roman"/>
          <w:spacing w:val="-6"/>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están</w:t>
      </w:r>
      <w:r>
        <w:rPr>
          <w:rFonts w:ascii="Times New Roman" w:hAnsi="Times New Roman"/>
          <w:spacing w:val="-4"/>
          <w:sz w:val="19"/>
        </w:rPr>
        <w:t> </w:t>
      </w:r>
      <w:r>
        <w:rPr>
          <w:rFonts w:ascii="Times New Roman" w:hAnsi="Times New Roman"/>
          <w:sz w:val="19"/>
        </w:rPr>
        <w:t>con</w:t>
      </w:r>
      <w:r>
        <w:rPr>
          <w:rFonts w:ascii="Times New Roman" w:hAnsi="Times New Roman"/>
          <w:spacing w:val="-4"/>
          <w:sz w:val="19"/>
        </w:rPr>
        <w:t> </w:t>
      </w:r>
      <w:r>
        <w:rPr>
          <w:rFonts w:ascii="Times New Roman" w:hAnsi="Times New Roman"/>
          <w:sz w:val="19"/>
        </w:rPr>
        <w:t>riesgo</w:t>
      </w:r>
      <w:r>
        <w:rPr>
          <w:rFonts w:ascii="Times New Roman" w:hAnsi="Times New Roman"/>
          <w:spacing w:val="-6"/>
          <w:sz w:val="19"/>
        </w:rPr>
        <w:t> </w:t>
      </w:r>
      <w:r>
        <w:rPr>
          <w:rFonts w:ascii="Times New Roman" w:hAnsi="Times New Roman"/>
          <w:sz w:val="19"/>
        </w:rPr>
        <w:t>de</w:t>
      </w:r>
      <w:r>
        <w:rPr>
          <w:rFonts w:ascii="Times New Roman" w:hAnsi="Times New Roman"/>
          <w:spacing w:val="-6"/>
          <w:sz w:val="19"/>
        </w:rPr>
        <w:t> </w:t>
      </w:r>
      <w:r>
        <w:rPr>
          <w:rFonts w:ascii="Times New Roman" w:hAnsi="Times New Roman"/>
          <w:spacing w:val="-2"/>
          <w:sz w:val="19"/>
        </w:rPr>
        <w:t>incumplimiento.</w:t>
      </w:r>
    </w:p>
    <w:p>
      <w:pPr>
        <w:pStyle w:val="BodyText"/>
        <w:rPr>
          <w:rFonts w:ascii="Times New Roman"/>
          <w:sz w:val="19"/>
        </w:rPr>
      </w:pPr>
    </w:p>
    <w:p>
      <w:pPr>
        <w:pStyle w:val="BodyText"/>
        <w:spacing w:before="64"/>
        <w:rPr>
          <w:rFonts w:ascii="Times New Roman"/>
          <w:sz w:val="19"/>
        </w:rPr>
      </w:pPr>
    </w:p>
    <w:p>
      <w:pPr>
        <w:spacing w:before="0"/>
        <w:ind w:left="239" w:right="0" w:firstLine="0"/>
        <w:jc w:val="left"/>
        <w:rPr>
          <w:rFonts w:ascii="Times New Roman"/>
          <w:b/>
          <w:sz w:val="18"/>
        </w:rPr>
      </w:pPr>
      <w:r>
        <w:rPr>
          <w:rFonts w:ascii="Times New Roman"/>
          <w:b/>
          <w:sz w:val="18"/>
        </w:rPr>
        <w:drawing>
          <wp:anchor distT="0" distB="0" distL="0" distR="0" allowOverlap="1" layoutInCell="1" locked="0" behindDoc="0" simplePos="0" relativeHeight="15733248">
            <wp:simplePos x="0" y="0"/>
            <wp:positionH relativeFrom="page">
              <wp:posOffset>7196455</wp:posOffset>
            </wp:positionH>
            <wp:positionV relativeFrom="paragraph">
              <wp:posOffset>333369</wp:posOffset>
            </wp:positionV>
            <wp:extent cx="190500" cy="191769"/>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9" cstate="print"/>
                    <a:stretch>
                      <a:fillRect/>
                    </a:stretch>
                  </pic:blipFill>
                  <pic:spPr>
                    <a:xfrm>
                      <a:off x="0" y="0"/>
                      <a:ext cx="190500" cy="191769"/>
                    </a:xfrm>
                    <a:prstGeom prst="rect">
                      <a:avLst/>
                    </a:prstGeom>
                  </pic:spPr>
                </pic:pic>
              </a:graphicData>
            </a:graphic>
          </wp:anchor>
        </w:drawing>
      </w:r>
      <w:r>
        <w:rPr>
          <w:rFonts w:ascii="Times New Roman"/>
          <w:b/>
          <w:sz w:val="18"/>
        </w:rPr>
        <w:t>Detalle</w:t>
      </w:r>
      <w:r>
        <w:rPr>
          <w:rFonts w:ascii="Times New Roman"/>
          <w:b/>
          <w:spacing w:val="-3"/>
          <w:sz w:val="18"/>
        </w:rPr>
        <w:t> </w:t>
      </w:r>
      <w:r>
        <w:rPr>
          <w:rFonts w:ascii="Times New Roman"/>
          <w:b/>
          <w:sz w:val="18"/>
        </w:rPr>
        <w:t>de</w:t>
      </w:r>
      <w:r>
        <w:rPr>
          <w:rFonts w:ascii="Times New Roman"/>
          <w:b/>
          <w:spacing w:val="-2"/>
          <w:sz w:val="18"/>
        </w:rPr>
        <w:t> </w:t>
      </w:r>
      <w:r>
        <w:rPr>
          <w:rFonts w:ascii="Times New Roman"/>
          <w:b/>
          <w:sz w:val="18"/>
        </w:rPr>
        <w:t>metas</w:t>
      </w:r>
      <w:r>
        <w:rPr>
          <w:rFonts w:ascii="Times New Roman"/>
          <w:b/>
          <w:spacing w:val="-2"/>
          <w:sz w:val="18"/>
        </w:rPr>
        <w:t> </w:t>
      </w:r>
      <w:r>
        <w:rPr>
          <w:rFonts w:ascii="Times New Roman"/>
          <w:b/>
          <w:sz w:val="18"/>
        </w:rPr>
        <w:t>con</w:t>
      </w:r>
      <w:r>
        <w:rPr>
          <w:rFonts w:ascii="Times New Roman"/>
          <w:b/>
          <w:spacing w:val="-2"/>
          <w:sz w:val="18"/>
        </w:rPr>
        <w:t> </w:t>
      </w:r>
      <w:r>
        <w:rPr>
          <w:rFonts w:ascii="Times New Roman"/>
          <w:b/>
          <w:sz w:val="18"/>
        </w:rPr>
        <w:t>riesgo de</w:t>
      </w:r>
      <w:r>
        <w:rPr>
          <w:rFonts w:ascii="Times New Roman"/>
          <w:b/>
          <w:spacing w:val="-2"/>
          <w:sz w:val="18"/>
        </w:rPr>
        <w:t> incumplimiento.</w:t>
      </w:r>
    </w:p>
    <w:p>
      <w:pPr>
        <w:pStyle w:val="BodyText"/>
        <w:spacing w:before="9"/>
        <w:rPr>
          <w:rFonts w:ascii="Times New Roman"/>
          <w:b/>
          <w:sz w:val="19"/>
        </w:rPr>
      </w:pPr>
    </w:p>
    <w:p>
      <w:pPr>
        <w:pStyle w:val="BodyText"/>
        <w:spacing w:after="0"/>
        <w:rPr>
          <w:rFonts w:ascii="Times New Roman"/>
          <w:b/>
          <w:sz w:val="19"/>
        </w:rPr>
        <w:sectPr>
          <w:headerReference w:type="default" r:id="rId15"/>
          <w:footerReference w:type="default" r:id="rId16"/>
          <w:pgSz w:w="13370" w:h="17280"/>
          <w:pgMar w:header="507" w:footer="656" w:top="1340" w:bottom="840" w:left="1275" w:right="992"/>
        </w:sectPr>
      </w:pPr>
    </w:p>
    <w:p>
      <w:pPr>
        <w:tabs>
          <w:tab w:pos="1859" w:val="left" w:leader="none"/>
        </w:tabs>
        <w:spacing w:before="92"/>
        <w:ind w:left="1859" w:right="38" w:hanging="1620"/>
        <w:jc w:val="left"/>
        <w:rPr>
          <w:rFonts w:ascii="Times New Roman" w:hAnsi="Times New Roman"/>
          <w:sz w:val="19"/>
        </w:rPr>
      </w:pPr>
      <w:r>
        <w:rPr>
          <w:rFonts w:ascii="Times New Roman" w:hAnsi="Times New Roman"/>
          <w:b/>
          <w:position w:val="1"/>
          <w:sz w:val="18"/>
        </w:rPr>
        <w:t>Resultado PEI</w:t>
        <w:tab/>
      </w:r>
      <w:r>
        <w:rPr>
          <w:rFonts w:ascii="Times New Roman" w:hAnsi="Times New Roman"/>
          <w:sz w:val="19"/>
        </w:rPr>
        <w:t>1.3.2</w:t>
      </w:r>
      <w:r>
        <w:rPr>
          <w:rFonts w:ascii="Times New Roman" w:hAnsi="Times New Roman"/>
          <w:spacing w:val="-3"/>
          <w:sz w:val="19"/>
        </w:rPr>
        <w:t> </w:t>
      </w:r>
      <w:r>
        <w:rPr>
          <w:rFonts w:ascii="Times New Roman" w:hAnsi="Times New Roman"/>
          <w:sz w:val="19"/>
        </w:rPr>
        <w:t>Manual</w:t>
      </w:r>
      <w:r>
        <w:rPr>
          <w:rFonts w:ascii="Times New Roman" w:hAnsi="Times New Roman"/>
          <w:spacing w:val="-6"/>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organización</w:t>
      </w:r>
      <w:r>
        <w:rPr>
          <w:rFonts w:ascii="Times New Roman" w:hAnsi="Times New Roman"/>
          <w:spacing w:val="-3"/>
          <w:sz w:val="19"/>
        </w:rPr>
        <w:t> </w:t>
      </w:r>
      <w:r>
        <w:rPr>
          <w:rFonts w:ascii="Times New Roman" w:hAnsi="Times New Roman"/>
          <w:sz w:val="19"/>
        </w:rPr>
        <w:t>Institucional</w:t>
      </w:r>
      <w:r>
        <w:rPr>
          <w:rFonts w:ascii="Times New Roman" w:hAnsi="Times New Roman"/>
          <w:spacing w:val="-5"/>
          <w:sz w:val="19"/>
        </w:rPr>
        <w:t> </w:t>
      </w:r>
      <w:r>
        <w:rPr>
          <w:rFonts w:ascii="Times New Roman" w:hAnsi="Times New Roman"/>
          <w:sz w:val="19"/>
        </w:rPr>
        <w:t>ajustado</w:t>
      </w:r>
      <w:r>
        <w:rPr>
          <w:rFonts w:ascii="Times New Roman" w:hAnsi="Times New Roman"/>
          <w:spacing w:val="-3"/>
          <w:sz w:val="19"/>
        </w:rPr>
        <w:t> </w:t>
      </w:r>
      <w:r>
        <w:rPr>
          <w:rFonts w:ascii="Times New Roman" w:hAnsi="Times New Roman"/>
          <w:sz w:val="19"/>
        </w:rPr>
        <w:t>a</w:t>
      </w:r>
      <w:r>
        <w:rPr>
          <w:rFonts w:ascii="Times New Roman" w:hAnsi="Times New Roman"/>
          <w:spacing w:val="-5"/>
          <w:sz w:val="19"/>
        </w:rPr>
        <w:t> </w:t>
      </w:r>
      <w:r>
        <w:rPr>
          <w:rFonts w:ascii="Times New Roman" w:hAnsi="Times New Roman"/>
          <w:sz w:val="19"/>
        </w:rPr>
        <w:t>la</w:t>
      </w:r>
      <w:r>
        <w:rPr>
          <w:rFonts w:ascii="Times New Roman" w:hAnsi="Times New Roman"/>
          <w:spacing w:val="-4"/>
          <w:sz w:val="19"/>
        </w:rPr>
        <w:t> </w:t>
      </w:r>
      <w:r>
        <w:rPr>
          <w:rFonts w:ascii="Times New Roman" w:hAnsi="Times New Roman"/>
          <w:sz w:val="19"/>
        </w:rPr>
        <w:t>metodología</w:t>
      </w:r>
      <w:r>
        <w:rPr>
          <w:rFonts w:ascii="Times New Roman" w:hAnsi="Times New Roman"/>
          <w:spacing w:val="-6"/>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gestión</w:t>
      </w:r>
      <w:r>
        <w:rPr>
          <w:rFonts w:ascii="Times New Roman" w:hAnsi="Times New Roman"/>
          <w:spacing w:val="-5"/>
          <w:sz w:val="19"/>
        </w:rPr>
        <w:t> </w:t>
      </w:r>
      <w:r>
        <w:rPr>
          <w:rFonts w:ascii="Times New Roman" w:hAnsi="Times New Roman"/>
          <w:sz w:val="19"/>
        </w:rPr>
        <w:t>por </w:t>
      </w:r>
      <w:r>
        <w:rPr>
          <w:rFonts w:ascii="Times New Roman" w:hAnsi="Times New Roman"/>
          <w:spacing w:val="-2"/>
          <w:sz w:val="19"/>
        </w:rPr>
        <w:t>procesos.</w:t>
      </w:r>
    </w:p>
    <w:p>
      <w:pPr>
        <w:spacing w:before="92"/>
        <w:ind w:left="239" w:right="0" w:firstLine="0"/>
        <w:jc w:val="left"/>
        <w:rPr>
          <w:rFonts w:ascii="Times New Roman"/>
          <w:sz w:val="19"/>
        </w:rPr>
      </w:pPr>
      <w:r>
        <w:rPr/>
        <w:br w:type="column"/>
      </w:r>
      <w:r>
        <w:rPr>
          <w:rFonts w:ascii="Times New Roman"/>
          <w:sz w:val="19"/>
        </w:rPr>
        <w:t>40,00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656" w:top="1120" w:bottom="1160" w:left="1275" w:right="992"/>
          <w:cols w:num="2" w:equalWidth="0">
            <w:col w:w="8275" w:space="774"/>
            <w:col w:w="2054"/>
          </w:cols>
        </w:sectPr>
      </w:pPr>
    </w:p>
    <w:p>
      <w:pPr>
        <w:pStyle w:val="BodyText"/>
        <w:spacing w:before="5"/>
        <w:rPr>
          <w:rFonts w:ascii="Times New Roman"/>
          <w:sz w:val="11"/>
        </w:rPr>
      </w:pPr>
    </w:p>
    <w:tbl>
      <w:tblPr>
        <w:tblW w:w="0" w:type="auto"/>
        <w:jc w:val="left"/>
        <w:tblInd w:w="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18"/>
        <w:gridCol w:w="4122"/>
        <w:gridCol w:w="4726"/>
      </w:tblGrid>
      <w:tr>
        <w:trPr>
          <w:trHeight w:val="330" w:hRule="atLeast"/>
        </w:trPr>
        <w:tc>
          <w:tcPr>
            <w:tcW w:w="1618" w:type="dxa"/>
            <w:tcBorders>
              <w:bottom w:val="single" w:sz="12" w:space="0" w:color="000000"/>
              <w:right w:val="single" w:sz="4" w:space="0" w:color="000000"/>
            </w:tcBorders>
            <w:shd w:val="clear" w:color="auto" w:fill="E4E4E4"/>
          </w:tcPr>
          <w:p>
            <w:pPr>
              <w:pStyle w:val="TableParagraph"/>
              <w:rPr>
                <w:sz w:val="18"/>
              </w:rPr>
            </w:pPr>
          </w:p>
        </w:tc>
        <w:tc>
          <w:tcPr>
            <w:tcW w:w="4122" w:type="dxa"/>
            <w:tcBorders>
              <w:left w:val="single" w:sz="4" w:space="0" w:color="000000"/>
              <w:bottom w:val="single" w:sz="12" w:space="0" w:color="000000"/>
              <w:right w:val="single" w:sz="4"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4" w:space="0" w:color="000000"/>
              <w:bottom w:val="single" w:sz="12" w:space="0" w:color="000000"/>
            </w:tcBorders>
            <w:shd w:val="clear" w:color="auto" w:fill="E4E4E4"/>
          </w:tcPr>
          <w:p>
            <w:pPr>
              <w:pStyle w:val="TableParagraph"/>
              <w:spacing w:line="207" w:lineRule="exact"/>
              <w:ind w:left="9"/>
              <w:jc w:val="center"/>
              <w:rPr>
                <w:b/>
                <w:sz w:val="18"/>
              </w:rPr>
            </w:pPr>
            <w:r>
              <w:rPr>
                <w:b/>
                <w:spacing w:val="-2"/>
                <w:sz w:val="18"/>
              </w:rPr>
              <w:t>Justificación</w:t>
            </w:r>
          </w:p>
        </w:tc>
      </w:tr>
      <w:tr>
        <w:trPr>
          <w:trHeight w:val="702" w:hRule="atLeast"/>
        </w:trPr>
        <w:tc>
          <w:tcPr>
            <w:tcW w:w="1618" w:type="dxa"/>
            <w:tcBorders>
              <w:top w:val="single" w:sz="12" w:space="0" w:color="000000"/>
            </w:tcBorders>
          </w:tcPr>
          <w:p>
            <w:pPr>
              <w:pStyle w:val="TableParagraph"/>
              <w:spacing w:line="218" w:lineRule="exact"/>
              <w:ind w:left="54"/>
              <w:rPr>
                <w:sz w:val="19"/>
              </w:rPr>
            </w:pPr>
            <w:r>
              <w:rPr>
                <w:spacing w:val="-4"/>
                <w:sz w:val="19"/>
              </w:rPr>
              <w:t>2024</w:t>
            </w:r>
          </w:p>
        </w:tc>
        <w:tc>
          <w:tcPr>
            <w:tcW w:w="4122" w:type="dxa"/>
            <w:tcBorders>
              <w:top w:val="single" w:sz="12" w:space="0" w:color="000000"/>
            </w:tcBorders>
          </w:tcPr>
          <w:p>
            <w:pPr>
              <w:pStyle w:val="TableParagraph"/>
              <w:ind w:left="44" w:right="251"/>
              <w:rPr>
                <w:sz w:val="19"/>
              </w:rPr>
            </w:pPr>
            <w:r>
              <w:rPr>
                <w:sz w:val="19"/>
              </w:rPr>
              <w:t>PAC</w:t>
            </w:r>
            <w:r>
              <w:rPr>
                <w:spacing w:val="-6"/>
                <w:sz w:val="19"/>
              </w:rPr>
              <w:t> </w:t>
            </w:r>
            <w:r>
              <w:rPr>
                <w:sz w:val="19"/>
              </w:rPr>
              <w:t>2.4.9.2:</w:t>
            </w:r>
            <w:r>
              <w:rPr>
                <w:spacing w:val="-7"/>
                <w:sz w:val="19"/>
              </w:rPr>
              <w:t> </w:t>
            </w:r>
            <w:r>
              <w:rPr>
                <w:sz w:val="19"/>
              </w:rPr>
              <w:t>Ejecución</w:t>
            </w:r>
            <w:r>
              <w:rPr>
                <w:spacing w:val="-7"/>
                <w:sz w:val="19"/>
              </w:rPr>
              <w:t> </w:t>
            </w:r>
            <w:r>
              <w:rPr>
                <w:sz w:val="19"/>
              </w:rPr>
              <w:t>de</w:t>
            </w:r>
            <w:r>
              <w:rPr>
                <w:spacing w:val="-7"/>
                <w:sz w:val="19"/>
              </w:rPr>
              <w:t> </w:t>
            </w:r>
            <w:r>
              <w:rPr>
                <w:sz w:val="19"/>
              </w:rPr>
              <w:t>ajustes</w:t>
            </w:r>
            <w:r>
              <w:rPr>
                <w:spacing w:val="-6"/>
                <w:sz w:val="19"/>
              </w:rPr>
              <w:t> </w:t>
            </w:r>
            <w:r>
              <w:rPr>
                <w:sz w:val="19"/>
              </w:rPr>
              <w:t>y</w:t>
            </w:r>
            <w:r>
              <w:rPr>
                <w:spacing w:val="-5"/>
                <w:sz w:val="19"/>
              </w:rPr>
              <w:t> </w:t>
            </w:r>
            <w:r>
              <w:rPr>
                <w:sz w:val="19"/>
              </w:rPr>
              <w:t>aprobación</w:t>
            </w:r>
            <w:r>
              <w:rPr>
                <w:spacing w:val="-5"/>
                <w:sz w:val="19"/>
              </w:rPr>
              <w:t> </w:t>
            </w:r>
            <w:r>
              <w:rPr>
                <w:sz w:val="19"/>
              </w:rPr>
              <w:t>al Manual de Organización Institucional del IMAS.</w:t>
            </w:r>
          </w:p>
        </w:tc>
        <w:tc>
          <w:tcPr>
            <w:tcW w:w="4726" w:type="dxa"/>
            <w:tcBorders>
              <w:top w:val="single" w:sz="12" w:space="0" w:color="000000"/>
            </w:tcBorders>
          </w:tcPr>
          <w:p>
            <w:pPr>
              <w:pStyle w:val="TableParagraph"/>
              <w:ind w:left="47" w:right="44"/>
              <w:jc w:val="both"/>
              <w:rPr>
                <w:sz w:val="19"/>
              </w:rPr>
            </w:pPr>
            <w:r>
              <w:rPr>
                <w:sz w:val="19"/>
              </w:rPr>
              <w:t>El avance de esta</w:t>
            </w:r>
            <w:r>
              <w:rPr>
                <w:spacing w:val="-2"/>
                <w:sz w:val="19"/>
              </w:rPr>
              <w:t> </w:t>
            </w:r>
            <w:r>
              <w:rPr>
                <w:sz w:val="19"/>
              </w:rPr>
              <w:t>actividad depende del</w:t>
            </w:r>
            <w:r>
              <w:rPr>
                <w:spacing w:val="-2"/>
                <w:sz w:val="19"/>
              </w:rPr>
              <w:t> </w:t>
            </w:r>
            <w:r>
              <w:rPr>
                <w:sz w:val="19"/>
              </w:rPr>
              <w:t>avance</w:t>
            </w:r>
            <w:r>
              <w:rPr>
                <w:spacing w:val="-2"/>
                <w:sz w:val="19"/>
              </w:rPr>
              <w:t> </w:t>
            </w:r>
            <w:r>
              <w:rPr>
                <w:sz w:val="19"/>
              </w:rPr>
              <w:t>que</w:t>
            </w:r>
            <w:r>
              <w:rPr>
                <w:spacing w:val="-2"/>
                <w:sz w:val="19"/>
              </w:rPr>
              <w:t> </w:t>
            </w:r>
            <w:r>
              <w:rPr>
                <w:sz w:val="19"/>
              </w:rPr>
              <w:t>se tenga en las actividades de mapeo de procesos que se realizan en las dependencias institucionales</w:t>
            </w:r>
          </w:p>
        </w:tc>
      </w:tr>
    </w:tbl>
    <w:p>
      <w:pPr>
        <w:pStyle w:val="BodyText"/>
        <w:rPr>
          <w:rFonts w:ascii="Times New Roman"/>
          <w:sz w:val="19"/>
        </w:rPr>
      </w:pPr>
    </w:p>
    <w:p>
      <w:pPr>
        <w:pStyle w:val="BodyText"/>
        <w:rPr>
          <w:rFonts w:ascii="Times New Roman"/>
          <w:sz w:val="19"/>
        </w:rPr>
      </w:pPr>
    </w:p>
    <w:p>
      <w:pPr>
        <w:pStyle w:val="BodyText"/>
        <w:spacing w:before="50"/>
        <w:rPr>
          <w:rFonts w:ascii="Times New Roman"/>
          <w:sz w:val="19"/>
        </w:rPr>
      </w:pPr>
    </w:p>
    <w:p>
      <w:pPr>
        <w:spacing w:before="0"/>
        <w:ind w:left="208" w:right="0" w:firstLine="0"/>
        <w:jc w:val="left"/>
        <w:rPr>
          <w:rFonts w:ascii="Times New Roman" w:hAnsi="Times New Roman"/>
          <w:sz w:val="19"/>
        </w:rPr>
      </w:pPr>
      <w:r>
        <w:rPr>
          <w:rFonts w:ascii="Times New Roman" w:hAnsi="Times New Roman"/>
          <w:sz w:val="19"/>
        </w:rPr>
        <w:t>Por</w:t>
      </w:r>
      <w:r>
        <w:rPr>
          <w:rFonts w:ascii="Times New Roman" w:hAnsi="Times New Roman"/>
          <w:spacing w:val="-7"/>
          <w:sz w:val="19"/>
        </w:rPr>
        <w:t> </w:t>
      </w:r>
      <w:r>
        <w:rPr>
          <w:rFonts w:ascii="Times New Roman" w:hAnsi="Times New Roman"/>
          <w:sz w:val="19"/>
        </w:rPr>
        <w:t>otra</w:t>
      </w:r>
      <w:r>
        <w:rPr>
          <w:rFonts w:ascii="Times New Roman" w:hAnsi="Times New Roman"/>
          <w:spacing w:val="-6"/>
          <w:sz w:val="19"/>
        </w:rPr>
        <w:t> </w:t>
      </w:r>
      <w:r>
        <w:rPr>
          <w:rFonts w:ascii="Times New Roman" w:hAnsi="Times New Roman"/>
          <w:sz w:val="19"/>
        </w:rPr>
        <w:t>parte,</w:t>
      </w:r>
      <w:r>
        <w:rPr>
          <w:rFonts w:ascii="Times New Roman" w:hAnsi="Times New Roman"/>
          <w:spacing w:val="-5"/>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5"/>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reportaron</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avance</w:t>
      </w:r>
      <w:r>
        <w:rPr>
          <w:rFonts w:ascii="Times New Roman" w:hAnsi="Times New Roman"/>
          <w:spacing w:val="-6"/>
          <w:sz w:val="19"/>
        </w:rPr>
        <w:t> </w:t>
      </w:r>
      <w:r>
        <w:rPr>
          <w:rFonts w:ascii="Times New Roman" w:hAnsi="Times New Roman"/>
          <w:spacing w:val="-2"/>
          <w:sz w:val="19"/>
        </w:rPr>
        <w:t>crítico.</w:t>
      </w:r>
    </w:p>
    <w:p>
      <w:pPr>
        <w:pStyle w:val="BodyText"/>
        <w:rPr>
          <w:rFonts w:ascii="Times New Roman"/>
          <w:sz w:val="19"/>
        </w:rPr>
      </w:pPr>
    </w:p>
    <w:p>
      <w:pPr>
        <w:pStyle w:val="BodyText"/>
        <w:spacing w:before="65"/>
        <w:rPr>
          <w:rFonts w:ascii="Times New Roman"/>
          <w:sz w:val="19"/>
        </w:rPr>
      </w:pPr>
    </w:p>
    <w:p>
      <w:pPr>
        <w:spacing w:before="0"/>
        <w:ind w:left="208" w:right="0" w:firstLine="0"/>
        <w:jc w:val="left"/>
        <w:rPr>
          <w:rFonts w:ascii="Times New Roman" w:hAnsi="Times New Roman"/>
          <w:b/>
          <w:sz w:val="18"/>
        </w:rPr>
      </w:pPr>
      <w:r>
        <w:rPr>
          <w:rFonts w:ascii="Times New Roman" w:hAnsi="Times New Roman"/>
          <w:b/>
          <w:sz w:val="18"/>
        </w:rPr>
        <w:t>Detalle</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metas</w:t>
      </w:r>
      <w:r>
        <w:rPr>
          <w:rFonts w:ascii="Times New Roman" w:hAnsi="Times New Roman"/>
          <w:b/>
          <w:spacing w:val="-1"/>
          <w:sz w:val="18"/>
        </w:rPr>
        <w:t> </w:t>
      </w:r>
      <w:r>
        <w:rPr>
          <w:rFonts w:ascii="Times New Roman" w:hAnsi="Times New Roman"/>
          <w:b/>
          <w:sz w:val="18"/>
        </w:rPr>
        <w:t>con</w:t>
      </w:r>
      <w:r>
        <w:rPr>
          <w:rFonts w:ascii="Times New Roman" w:hAnsi="Times New Roman"/>
          <w:b/>
          <w:spacing w:val="-3"/>
          <w:sz w:val="18"/>
        </w:rPr>
        <w:t> </w:t>
      </w:r>
      <w:r>
        <w:rPr>
          <w:rFonts w:ascii="Times New Roman" w:hAnsi="Times New Roman"/>
          <w:b/>
          <w:sz w:val="18"/>
        </w:rPr>
        <w:t>avance</w:t>
      </w:r>
      <w:r>
        <w:rPr>
          <w:rFonts w:ascii="Times New Roman" w:hAnsi="Times New Roman"/>
          <w:b/>
          <w:spacing w:val="-1"/>
          <w:sz w:val="18"/>
        </w:rPr>
        <w:t> </w:t>
      </w:r>
      <w:r>
        <w:rPr>
          <w:rFonts w:ascii="Times New Roman" w:hAnsi="Times New Roman"/>
          <w:b/>
          <w:spacing w:val="-2"/>
          <w:sz w:val="18"/>
        </w:rPr>
        <w:t>crítico</w:t>
      </w:r>
    </w:p>
    <w:p>
      <w:pPr>
        <w:pStyle w:val="BodyText"/>
        <w:spacing w:before="94"/>
        <w:rPr>
          <w:rFonts w:ascii="Times New Roman"/>
          <w:b/>
          <w:sz w:val="18"/>
        </w:rPr>
      </w:pPr>
    </w:p>
    <w:p>
      <w:pPr>
        <w:tabs>
          <w:tab w:pos="1648" w:val="left" w:leader="none"/>
          <w:tab w:pos="9356" w:val="left" w:leader="none"/>
        </w:tabs>
        <w:spacing w:before="0"/>
        <w:ind w:left="208" w:right="0" w:firstLine="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3760">
            <wp:simplePos x="0" y="0"/>
            <wp:positionH relativeFrom="page">
              <wp:posOffset>7333615</wp:posOffset>
            </wp:positionH>
            <wp:positionV relativeFrom="paragraph">
              <wp:posOffset>-1049</wp:posOffset>
            </wp:positionV>
            <wp:extent cx="199390" cy="164718"/>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20" cstate="print"/>
                    <a:stretch>
                      <a:fillRect/>
                    </a:stretch>
                  </pic:blipFill>
                  <pic:spPr>
                    <a:xfrm>
                      <a:off x="0" y="0"/>
                      <a:ext cx="199390" cy="164718"/>
                    </a:xfrm>
                    <a:prstGeom prst="rect">
                      <a:avLst/>
                    </a:prstGeom>
                  </pic:spPr>
                </pic:pic>
              </a:graphicData>
            </a:graphic>
          </wp:anchor>
        </w:drawing>
      </w:r>
      <w:r>
        <w:rPr>
          <w:rFonts w:ascii="Times New Roman" w:hAnsi="Times New Roman"/>
          <w:sz w:val="19"/>
        </w:rPr>
        <mc:AlternateContent>
          <mc:Choice Requires="wps">
            <w:drawing>
              <wp:anchor distT="0" distB="0" distL="0" distR="0" allowOverlap="1" layoutInCell="1" locked="0" behindDoc="1" simplePos="0" relativeHeight="486289920">
                <wp:simplePos x="0" y="0"/>
                <wp:positionH relativeFrom="page">
                  <wp:posOffset>4767961</wp:posOffset>
                </wp:positionH>
                <wp:positionV relativeFrom="paragraph">
                  <wp:posOffset>637646</wp:posOffset>
                </wp:positionV>
                <wp:extent cx="3009265" cy="60833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009265" cy="608330"/>
                        </a:xfrm>
                        <a:custGeom>
                          <a:avLst/>
                          <a:gdLst/>
                          <a:ahLst/>
                          <a:cxnLst/>
                          <a:rect l="l" t="t" r="r" b="b"/>
                          <a:pathLst>
                            <a:path w="3009265" h="608330">
                              <a:moveTo>
                                <a:pt x="3008998" y="0"/>
                              </a:moveTo>
                              <a:lnTo>
                                <a:pt x="2999867" y="0"/>
                              </a:lnTo>
                              <a:lnTo>
                                <a:pt x="0" y="0"/>
                              </a:lnTo>
                              <a:lnTo>
                                <a:pt x="0" y="9131"/>
                              </a:lnTo>
                              <a:lnTo>
                                <a:pt x="2999867" y="9131"/>
                              </a:lnTo>
                              <a:lnTo>
                                <a:pt x="2999867" y="598919"/>
                              </a:lnTo>
                              <a:lnTo>
                                <a:pt x="0" y="598919"/>
                              </a:lnTo>
                              <a:lnTo>
                                <a:pt x="0" y="608063"/>
                              </a:lnTo>
                              <a:lnTo>
                                <a:pt x="2999867" y="608063"/>
                              </a:lnTo>
                              <a:lnTo>
                                <a:pt x="3008998" y="608063"/>
                              </a:lnTo>
                              <a:lnTo>
                                <a:pt x="3008998" y="598919"/>
                              </a:lnTo>
                              <a:lnTo>
                                <a:pt x="3008998" y="9131"/>
                              </a:lnTo>
                              <a:lnTo>
                                <a:pt x="30089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75.430023pt;margin-top:50.208351pt;width:236.95pt;height:47.9pt;mso-position-horizontal-relative:page;mso-position-vertical-relative:paragraph;z-index:-17026560" id="docshape15" coordorigin="7509,1004" coordsize="4739,958" path="m12247,1004l12233,1004,7509,1004,7509,1019,12233,1019,12233,1947,7509,1947,7509,1962,12233,1962,12247,1962,12247,1947,12247,1019,12247,1004xe" filled="true" fillcolor="#000000" stroked="false">
                <v:path arrowok="t"/>
                <v:fill type="solid"/>
                <w10:wrap type="none"/>
              </v:shape>
            </w:pict>
          </mc:Fallback>
        </mc:AlternateContent>
      </w:r>
      <w:r>
        <w:rPr>
          <w:rFonts w:ascii="Times New Roman" w:hAnsi="Times New Roman"/>
          <w:b/>
          <w:position w:val="1"/>
          <w:sz w:val="18"/>
        </w:rPr>
        <w:t>Resultado</w:t>
      </w:r>
      <w:r>
        <w:rPr>
          <w:rFonts w:ascii="Times New Roman" w:hAnsi="Times New Roman"/>
          <w:b/>
          <w:spacing w:val="-2"/>
          <w:position w:val="1"/>
          <w:sz w:val="18"/>
        </w:rPr>
        <w:t> </w:t>
      </w:r>
      <w:r>
        <w:rPr>
          <w:rFonts w:ascii="Times New Roman" w:hAnsi="Times New Roman"/>
          <w:b/>
          <w:spacing w:val="-5"/>
          <w:position w:val="1"/>
          <w:sz w:val="18"/>
        </w:rPr>
        <w:t>PEI</w:t>
      </w:r>
      <w:r>
        <w:rPr>
          <w:rFonts w:ascii="Times New Roman" w:hAnsi="Times New Roman"/>
          <w:b/>
          <w:position w:val="1"/>
          <w:sz w:val="18"/>
        </w:rPr>
        <w:tab/>
      </w:r>
      <w:r>
        <w:rPr>
          <w:rFonts w:ascii="Times New Roman" w:hAnsi="Times New Roman"/>
          <w:sz w:val="19"/>
        </w:rPr>
        <w:t>1.1.1</w:t>
      </w:r>
      <w:r>
        <w:rPr>
          <w:rFonts w:ascii="Times New Roman" w:hAnsi="Times New Roman"/>
          <w:spacing w:val="-5"/>
          <w:sz w:val="19"/>
        </w:rPr>
        <w:t> </w:t>
      </w:r>
      <w:r>
        <w:rPr>
          <w:rFonts w:ascii="Times New Roman" w:hAnsi="Times New Roman"/>
          <w:sz w:val="19"/>
        </w:rPr>
        <w:t>Normativa</w:t>
      </w:r>
      <w:r>
        <w:rPr>
          <w:rFonts w:ascii="Times New Roman" w:hAnsi="Times New Roman"/>
          <w:spacing w:val="-7"/>
          <w:sz w:val="19"/>
        </w:rPr>
        <w:t> </w:t>
      </w:r>
      <w:r>
        <w:rPr>
          <w:rFonts w:ascii="Times New Roman" w:hAnsi="Times New Roman"/>
          <w:sz w:val="19"/>
        </w:rPr>
        <w:t>y</w:t>
      </w:r>
      <w:r>
        <w:rPr>
          <w:rFonts w:ascii="Times New Roman" w:hAnsi="Times New Roman"/>
          <w:spacing w:val="-7"/>
          <w:sz w:val="19"/>
        </w:rPr>
        <w:t> </w:t>
      </w:r>
      <w:r>
        <w:rPr>
          <w:rFonts w:ascii="Times New Roman" w:hAnsi="Times New Roman"/>
          <w:sz w:val="19"/>
        </w:rPr>
        <w:t>procedimientos</w:t>
      </w:r>
      <w:r>
        <w:rPr>
          <w:rFonts w:ascii="Times New Roman" w:hAnsi="Times New Roman"/>
          <w:spacing w:val="-6"/>
          <w:sz w:val="19"/>
        </w:rPr>
        <w:t> </w:t>
      </w:r>
      <w:r>
        <w:rPr>
          <w:rFonts w:ascii="Times New Roman" w:hAnsi="Times New Roman"/>
          <w:sz w:val="19"/>
        </w:rPr>
        <w:t>ajustados</w:t>
      </w:r>
      <w:r>
        <w:rPr>
          <w:rFonts w:ascii="Times New Roman" w:hAnsi="Times New Roman"/>
          <w:spacing w:val="-8"/>
          <w:sz w:val="19"/>
        </w:rPr>
        <w:t> </w:t>
      </w:r>
      <w:r>
        <w:rPr>
          <w:rFonts w:ascii="Times New Roman" w:hAnsi="Times New Roman"/>
          <w:sz w:val="19"/>
        </w:rPr>
        <w:t>para</w:t>
      </w:r>
      <w:r>
        <w:rPr>
          <w:rFonts w:ascii="Times New Roman" w:hAnsi="Times New Roman"/>
          <w:spacing w:val="-6"/>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implementación</w:t>
      </w:r>
      <w:r>
        <w:rPr>
          <w:rFonts w:ascii="Times New Roman" w:hAnsi="Times New Roman"/>
          <w:spacing w:val="-5"/>
          <w:sz w:val="19"/>
        </w:rPr>
        <w:t> </w:t>
      </w:r>
      <w:r>
        <w:rPr>
          <w:rFonts w:ascii="Times New Roman" w:hAnsi="Times New Roman"/>
          <w:sz w:val="19"/>
        </w:rPr>
        <w:t>de</w:t>
      </w:r>
      <w:r>
        <w:rPr>
          <w:rFonts w:ascii="Times New Roman" w:hAnsi="Times New Roman"/>
          <w:spacing w:val="-7"/>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GpRD</w:t>
      </w:r>
      <w:r>
        <w:rPr>
          <w:rFonts w:ascii="Times New Roman" w:hAnsi="Times New Roman"/>
          <w:spacing w:val="-7"/>
          <w:sz w:val="19"/>
        </w:rPr>
        <w:t> </w:t>
      </w:r>
      <w:r>
        <w:rPr>
          <w:rFonts w:ascii="Times New Roman" w:hAnsi="Times New Roman"/>
          <w:sz w:val="19"/>
        </w:rPr>
        <w:t>en</w:t>
      </w:r>
      <w:r>
        <w:rPr>
          <w:rFonts w:ascii="Times New Roman" w:hAnsi="Times New Roman"/>
          <w:spacing w:val="-5"/>
          <w:sz w:val="19"/>
        </w:rPr>
        <w:t> </w:t>
      </w:r>
      <w:r>
        <w:rPr>
          <w:rFonts w:ascii="Times New Roman" w:hAnsi="Times New Roman"/>
          <w:sz w:val="19"/>
        </w:rPr>
        <w:t>el</w:t>
      </w:r>
      <w:r>
        <w:rPr>
          <w:rFonts w:ascii="Times New Roman" w:hAnsi="Times New Roman"/>
          <w:spacing w:val="-6"/>
          <w:sz w:val="19"/>
        </w:rPr>
        <w:t> </w:t>
      </w:r>
      <w:r>
        <w:rPr>
          <w:rFonts w:ascii="Times New Roman" w:hAnsi="Times New Roman"/>
          <w:spacing w:val="-2"/>
          <w:sz w:val="19"/>
        </w:rPr>
        <w:t>IMAS.</w:t>
      </w:r>
      <w:r>
        <w:rPr>
          <w:rFonts w:ascii="Times New Roman" w:hAnsi="Times New Roman"/>
          <w:sz w:val="19"/>
        </w:rPr>
        <w:tab/>
        <w:t>16,67</w:t>
      </w:r>
      <w:r>
        <w:rPr>
          <w:rFonts w:ascii="Times New Roman" w:hAnsi="Times New Roman"/>
          <w:spacing w:val="30"/>
          <w:sz w:val="19"/>
        </w:rPr>
        <w:t> </w:t>
      </w:r>
      <w:r>
        <w:rPr>
          <w:rFonts w:ascii="Times New Roman" w:hAnsi="Times New Roman"/>
          <w:spacing w:val="-10"/>
          <w:sz w:val="19"/>
        </w:rPr>
        <w:t>%</w:t>
      </w:r>
    </w:p>
    <w:p>
      <w:pPr>
        <w:pStyle w:val="BodyText"/>
        <w:spacing w:before="31" w:after="1"/>
        <w:rPr>
          <w:rFonts w:ascii="Times New Roman"/>
          <w:sz w:val="20"/>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ight="40"/>
              <w:jc w:val="both"/>
              <w:rPr>
                <w:sz w:val="19"/>
              </w:rPr>
            </w:pPr>
            <w:r>
              <w:rPr>
                <w:sz w:val="19"/>
              </w:rPr>
              <w:t>PAC 2.4.1.1: Identificar, en coordinación con las unidades administrativas de la institución la revisión y priorización de ajuste de su normativa para la inclusión de la GpRD</w:t>
            </w:r>
          </w:p>
        </w:tc>
        <w:tc>
          <w:tcPr>
            <w:tcW w:w="4726" w:type="dxa"/>
            <w:tcBorders>
              <w:bottom w:val="nil"/>
              <w:right w:val="nil"/>
            </w:tcBorders>
          </w:tcPr>
          <w:p>
            <w:pPr>
              <w:pStyle w:val="TableParagraph"/>
              <w:spacing w:before="165"/>
              <w:ind w:left="376"/>
              <w:rPr>
                <w:sz w:val="19"/>
              </w:rPr>
            </w:pPr>
            <w:r>
              <w:rPr>
                <w:sz w:val="19"/>
              </w:rPr>
              <w:t>No</w:t>
            </w:r>
            <w:r>
              <w:rPr>
                <w:spacing w:val="-4"/>
                <w:sz w:val="19"/>
              </w:rPr>
              <w:t> </w:t>
            </w:r>
            <w:r>
              <w:rPr>
                <w:sz w:val="19"/>
              </w:rPr>
              <w:t>se</w:t>
            </w:r>
            <w:r>
              <w:rPr>
                <w:spacing w:val="-6"/>
                <w:sz w:val="19"/>
              </w:rPr>
              <w:t> </w:t>
            </w:r>
            <w:r>
              <w:rPr>
                <w:sz w:val="19"/>
              </w:rPr>
              <w:t>identifican</w:t>
            </w:r>
            <w:r>
              <w:rPr>
                <w:spacing w:val="-4"/>
                <w:sz w:val="19"/>
              </w:rPr>
              <w:t> </w:t>
            </w:r>
            <w:r>
              <w:rPr>
                <w:sz w:val="19"/>
              </w:rPr>
              <w:t>limitaciones</w:t>
            </w:r>
            <w:r>
              <w:rPr>
                <w:spacing w:val="-6"/>
                <w:sz w:val="19"/>
              </w:rPr>
              <w:t> </w:t>
            </w:r>
            <w:r>
              <w:rPr>
                <w:sz w:val="19"/>
              </w:rPr>
              <w:t>en</w:t>
            </w:r>
            <w:r>
              <w:rPr>
                <w:spacing w:val="-4"/>
                <w:sz w:val="19"/>
              </w:rPr>
              <w:t> </w:t>
            </w:r>
            <w:r>
              <w:rPr>
                <w:sz w:val="19"/>
              </w:rPr>
              <w:t>esta</w:t>
            </w:r>
            <w:r>
              <w:rPr>
                <w:spacing w:val="-5"/>
                <w:sz w:val="19"/>
              </w:rPr>
              <w:t> </w:t>
            </w:r>
            <w:r>
              <w:rPr>
                <w:spacing w:val="-2"/>
                <w:sz w:val="19"/>
              </w:rPr>
              <w:t>actividad.</w:t>
            </w:r>
          </w:p>
        </w:tc>
      </w:tr>
    </w:tbl>
    <w:p>
      <w:pPr>
        <w:pStyle w:val="TableParagraph"/>
        <w:spacing w:after="0"/>
        <w:rPr>
          <w:sz w:val="19"/>
        </w:rPr>
        <w:sectPr>
          <w:type w:val="continuous"/>
          <w:pgSz w:w="13370" w:h="17280"/>
          <w:pgMar w:header="507" w:footer="656" w:top="1120" w:bottom="1160" w:left="1275" w:right="992"/>
        </w:sect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42"/>
      </w:tblGrid>
      <w:tr>
        <w:trPr>
          <w:trHeight w:val="714" w:hRule="atLeast"/>
        </w:trPr>
        <w:tc>
          <w:tcPr>
            <w:tcW w:w="1709" w:type="dxa"/>
            <w:tcBorders>
              <w:bottom w:val="single" w:sz="12" w:space="0" w:color="000000"/>
            </w:tcBorders>
          </w:tcPr>
          <w:p>
            <w:pPr>
              <w:pStyle w:val="TableParagraph"/>
              <w:spacing w:before="19"/>
              <w:ind w:left="54"/>
              <w:rPr>
                <w:sz w:val="19"/>
              </w:rPr>
            </w:pPr>
            <w:r>
              <w:rPr>
                <w:spacing w:val="-4"/>
                <w:sz w:val="19"/>
              </w:rPr>
              <w:t>2024</w:t>
            </w:r>
          </w:p>
        </w:tc>
        <w:tc>
          <w:tcPr>
            <w:tcW w:w="4028" w:type="dxa"/>
            <w:tcBorders>
              <w:bottom w:val="single" w:sz="12" w:space="0" w:color="000000"/>
            </w:tcBorders>
          </w:tcPr>
          <w:p>
            <w:pPr>
              <w:pStyle w:val="TableParagraph"/>
              <w:spacing w:before="19"/>
              <w:ind w:left="42" w:right="41"/>
              <w:jc w:val="both"/>
              <w:rPr>
                <w:sz w:val="19"/>
              </w:rPr>
            </w:pPr>
            <w:r>
              <w:rPr>
                <w:sz w:val="19"/>
              </w:rPr>
              <w:t>PAC 2.4.1.2: Calendarización anual del seguimiento de las acciones de ajuste de la normativa específica por unidad</w:t>
            </w:r>
          </w:p>
        </w:tc>
        <w:tc>
          <w:tcPr>
            <w:tcW w:w="4742" w:type="dxa"/>
            <w:tcBorders>
              <w:bottom w:val="double" w:sz="6" w:space="0" w:color="000000"/>
            </w:tcBorders>
          </w:tcPr>
          <w:p>
            <w:pPr>
              <w:pStyle w:val="TableParagraph"/>
              <w:spacing w:line="200" w:lineRule="exact"/>
              <w:ind w:left="78"/>
              <w:rPr>
                <w:sz w:val="19"/>
              </w:rPr>
            </w:pPr>
            <w:r>
              <w:rPr>
                <w:sz w:val="19"/>
              </w:rPr>
              <w:t>Se</w:t>
            </w:r>
            <w:r>
              <w:rPr>
                <w:spacing w:val="6"/>
                <w:sz w:val="19"/>
              </w:rPr>
              <w:t> </w:t>
            </w:r>
            <w:r>
              <w:rPr>
                <w:sz w:val="19"/>
              </w:rPr>
              <w:t>está</w:t>
            </w:r>
            <w:r>
              <w:rPr>
                <w:spacing w:val="6"/>
                <w:sz w:val="19"/>
              </w:rPr>
              <w:t> </w:t>
            </w:r>
            <w:r>
              <w:rPr>
                <w:sz w:val="19"/>
              </w:rPr>
              <w:t>a</w:t>
            </w:r>
            <w:r>
              <w:rPr>
                <w:spacing w:val="5"/>
                <w:sz w:val="19"/>
              </w:rPr>
              <w:t> </w:t>
            </w:r>
            <w:r>
              <w:rPr>
                <w:sz w:val="19"/>
              </w:rPr>
              <w:t>la</w:t>
            </w:r>
            <w:r>
              <w:rPr>
                <w:spacing w:val="8"/>
                <w:sz w:val="19"/>
              </w:rPr>
              <w:t> </w:t>
            </w:r>
            <w:r>
              <w:rPr>
                <w:sz w:val="19"/>
              </w:rPr>
              <w:t>espera</w:t>
            </w:r>
            <w:r>
              <w:rPr>
                <w:spacing w:val="5"/>
                <w:sz w:val="19"/>
              </w:rPr>
              <w:t> </w:t>
            </w:r>
            <w:r>
              <w:rPr>
                <w:sz w:val="19"/>
              </w:rPr>
              <w:t>de</w:t>
            </w:r>
            <w:r>
              <w:rPr>
                <w:spacing w:val="6"/>
                <w:sz w:val="19"/>
              </w:rPr>
              <w:t> </w:t>
            </w:r>
            <w:r>
              <w:rPr>
                <w:sz w:val="19"/>
              </w:rPr>
              <w:t>que</w:t>
            </w:r>
            <w:r>
              <w:rPr>
                <w:spacing w:val="5"/>
                <w:sz w:val="19"/>
              </w:rPr>
              <w:t> </w:t>
            </w:r>
            <w:r>
              <w:rPr>
                <w:sz w:val="19"/>
              </w:rPr>
              <w:t>las</w:t>
            </w:r>
            <w:r>
              <w:rPr>
                <w:spacing w:val="6"/>
                <w:sz w:val="19"/>
              </w:rPr>
              <w:t> </w:t>
            </w:r>
            <w:r>
              <w:rPr>
                <w:sz w:val="19"/>
              </w:rPr>
              <w:t>unidades</w:t>
            </w:r>
            <w:r>
              <w:rPr>
                <w:spacing w:val="6"/>
                <w:sz w:val="19"/>
              </w:rPr>
              <w:t> </w:t>
            </w:r>
            <w:r>
              <w:rPr>
                <w:sz w:val="19"/>
              </w:rPr>
              <w:t>respondan</w:t>
            </w:r>
            <w:r>
              <w:rPr>
                <w:spacing w:val="6"/>
                <w:sz w:val="19"/>
              </w:rPr>
              <w:t> </w:t>
            </w:r>
            <w:r>
              <w:rPr>
                <w:sz w:val="19"/>
              </w:rPr>
              <w:t>cual</w:t>
            </w:r>
            <w:r>
              <w:rPr>
                <w:spacing w:val="5"/>
                <w:sz w:val="19"/>
              </w:rPr>
              <w:t> </w:t>
            </w:r>
            <w:r>
              <w:rPr>
                <w:sz w:val="19"/>
              </w:rPr>
              <w:t>es</w:t>
            </w:r>
            <w:r>
              <w:rPr>
                <w:spacing w:val="7"/>
                <w:sz w:val="19"/>
              </w:rPr>
              <w:t> </w:t>
            </w:r>
            <w:r>
              <w:rPr>
                <w:spacing w:val="-5"/>
                <w:sz w:val="19"/>
              </w:rPr>
              <w:t>la</w:t>
            </w:r>
          </w:p>
          <w:p>
            <w:pPr>
              <w:pStyle w:val="TableParagraph"/>
              <w:spacing w:before="2"/>
              <w:ind w:left="78"/>
              <w:rPr>
                <w:sz w:val="19"/>
              </w:rPr>
            </w:pPr>
            <w:r>
              <w:rPr>
                <w:sz w:val="19"/>
              </w:rPr>
              <w:t>normativa</w:t>
            </w:r>
            <w:r>
              <w:rPr>
                <w:spacing w:val="80"/>
                <w:w w:val="150"/>
                <w:sz w:val="19"/>
              </w:rPr>
              <w:t> </w:t>
            </w:r>
            <w:r>
              <w:rPr>
                <w:sz w:val="19"/>
              </w:rPr>
              <w:t>que</w:t>
            </w:r>
            <w:r>
              <w:rPr>
                <w:spacing w:val="80"/>
                <w:w w:val="150"/>
                <w:sz w:val="19"/>
              </w:rPr>
              <w:t> </w:t>
            </w:r>
            <w:r>
              <w:rPr>
                <w:sz w:val="19"/>
              </w:rPr>
              <w:t>se</w:t>
            </w:r>
            <w:r>
              <w:rPr>
                <w:spacing w:val="80"/>
                <w:w w:val="150"/>
                <w:sz w:val="19"/>
              </w:rPr>
              <w:t> </w:t>
            </w:r>
            <w:r>
              <w:rPr>
                <w:sz w:val="19"/>
              </w:rPr>
              <w:t>debe</w:t>
            </w:r>
            <w:r>
              <w:rPr>
                <w:spacing w:val="80"/>
                <w:w w:val="150"/>
                <w:sz w:val="19"/>
              </w:rPr>
              <w:t> </w:t>
            </w:r>
            <w:r>
              <w:rPr>
                <w:sz w:val="19"/>
              </w:rPr>
              <w:t>ajustar</w:t>
            </w:r>
            <w:r>
              <w:rPr>
                <w:spacing w:val="80"/>
                <w:w w:val="150"/>
                <w:sz w:val="19"/>
              </w:rPr>
              <w:t> </w:t>
            </w:r>
            <w:r>
              <w:rPr>
                <w:sz w:val="19"/>
              </w:rPr>
              <w:t>y</w:t>
            </w:r>
            <w:r>
              <w:rPr>
                <w:spacing w:val="80"/>
                <w:w w:val="150"/>
                <w:sz w:val="19"/>
              </w:rPr>
              <w:t> </w:t>
            </w:r>
            <w:r>
              <w:rPr>
                <w:sz w:val="19"/>
              </w:rPr>
              <w:t>que</w:t>
            </w:r>
            <w:r>
              <w:rPr>
                <w:spacing w:val="80"/>
                <w:w w:val="150"/>
                <w:sz w:val="19"/>
              </w:rPr>
              <w:t> </w:t>
            </w:r>
            <w:r>
              <w:rPr>
                <w:sz w:val="19"/>
              </w:rPr>
              <w:t>remitan</w:t>
            </w:r>
            <w:r>
              <w:rPr>
                <w:spacing w:val="80"/>
                <w:w w:val="150"/>
                <w:sz w:val="19"/>
              </w:rPr>
              <w:t> </w:t>
            </w:r>
            <w:r>
              <w:rPr>
                <w:sz w:val="19"/>
              </w:rPr>
              <w:t>la</w:t>
            </w:r>
            <w:r>
              <w:rPr>
                <w:spacing w:val="40"/>
                <w:sz w:val="19"/>
              </w:rPr>
              <w:t> </w:t>
            </w:r>
            <w:r>
              <w:rPr>
                <w:spacing w:val="-2"/>
                <w:sz w:val="19"/>
              </w:rPr>
              <w:t>calendarización</w:t>
            </w:r>
          </w:p>
        </w:tc>
      </w:tr>
      <w:tr>
        <w:trPr>
          <w:trHeight w:val="469" w:hRule="atLeast"/>
        </w:trPr>
        <w:tc>
          <w:tcPr>
            <w:tcW w:w="1709" w:type="dxa"/>
            <w:tcBorders>
              <w:top w:val="single" w:sz="12" w:space="0" w:color="000000"/>
            </w:tcBorders>
          </w:tcPr>
          <w:p>
            <w:pPr>
              <w:pStyle w:val="TableParagraph"/>
              <w:spacing w:line="213" w:lineRule="exact"/>
              <w:ind w:left="54"/>
              <w:rPr>
                <w:sz w:val="19"/>
              </w:rPr>
            </w:pPr>
            <w:r>
              <w:rPr>
                <w:spacing w:val="-4"/>
                <w:sz w:val="19"/>
              </w:rPr>
              <w:t>2024</w:t>
            </w:r>
          </w:p>
        </w:tc>
        <w:tc>
          <w:tcPr>
            <w:tcW w:w="4028" w:type="dxa"/>
            <w:tcBorders>
              <w:top w:val="single" w:sz="12" w:space="0" w:color="000000"/>
            </w:tcBorders>
          </w:tcPr>
          <w:p>
            <w:pPr>
              <w:pStyle w:val="TableParagraph"/>
              <w:ind w:left="42"/>
              <w:rPr>
                <w:sz w:val="19"/>
              </w:rPr>
            </w:pPr>
            <w:r>
              <w:rPr>
                <w:sz w:val="19"/>
              </w:rPr>
              <w:t>PAC</w:t>
            </w:r>
            <w:r>
              <w:rPr>
                <w:spacing w:val="40"/>
                <w:sz w:val="19"/>
              </w:rPr>
              <w:t> </w:t>
            </w:r>
            <w:r>
              <w:rPr>
                <w:sz w:val="19"/>
              </w:rPr>
              <w:t>2.4.1.3:</w:t>
            </w:r>
            <w:r>
              <w:rPr>
                <w:spacing w:val="40"/>
                <w:sz w:val="19"/>
              </w:rPr>
              <w:t> </w:t>
            </w:r>
            <w:r>
              <w:rPr>
                <w:sz w:val="19"/>
              </w:rPr>
              <w:t>Publicación</w:t>
            </w:r>
            <w:r>
              <w:rPr>
                <w:spacing w:val="40"/>
                <w:sz w:val="19"/>
              </w:rPr>
              <w:t> </w:t>
            </w:r>
            <w:r>
              <w:rPr>
                <w:sz w:val="19"/>
              </w:rPr>
              <w:t>y</w:t>
            </w:r>
            <w:r>
              <w:rPr>
                <w:spacing w:val="40"/>
                <w:sz w:val="19"/>
              </w:rPr>
              <w:t> </w:t>
            </w:r>
            <w:r>
              <w:rPr>
                <w:sz w:val="19"/>
              </w:rPr>
              <w:t>divulgación</w:t>
            </w:r>
            <w:r>
              <w:rPr>
                <w:spacing w:val="40"/>
                <w:sz w:val="19"/>
              </w:rPr>
              <w:t> </w:t>
            </w:r>
            <w:r>
              <w:rPr>
                <w:sz w:val="19"/>
              </w:rPr>
              <w:t>de</w:t>
            </w:r>
            <w:r>
              <w:rPr>
                <w:spacing w:val="40"/>
                <w:sz w:val="19"/>
              </w:rPr>
              <w:t> </w:t>
            </w:r>
            <w:r>
              <w:rPr>
                <w:sz w:val="19"/>
              </w:rPr>
              <w:t>la</w:t>
            </w:r>
            <w:r>
              <w:rPr>
                <w:spacing w:val="40"/>
                <w:sz w:val="19"/>
              </w:rPr>
              <w:t> </w:t>
            </w:r>
            <w:r>
              <w:rPr>
                <w:sz w:val="19"/>
              </w:rPr>
              <w:t>normativa ajustada y aprobada</w:t>
            </w:r>
          </w:p>
        </w:tc>
        <w:tc>
          <w:tcPr>
            <w:tcW w:w="4742" w:type="dxa"/>
            <w:tcBorders>
              <w:top w:val="double" w:sz="6" w:space="0" w:color="000000"/>
            </w:tcBorders>
          </w:tcPr>
          <w:p>
            <w:pPr>
              <w:pStyle w:val="TableParagraph"/>
              <w:ind w:left="47"/>
              <w:rPr>
                <w:sz w:val="19"/>
              </w:rPr>
            </w:pPr>
            <w:r>
              <w:rPr>
                <w:sz w:val="19"/>
              </w:rPr>
              <w:t>Se</w:t>
            </w:r>
            <w:r>
              <w:rPr>
                <w:spacing w:val="40"/>
                <w:sz w:val="19"/>
              </w:rPr>
              <w:t> </w:t>
            </w:r>
            <w:r>
              <w:rPr>
                <w:sz w:val="19"/>
              </w:rPr>
              <w:t>está</w:t>
            </w:r>
            <w:r>
              <w:rPr>
                <w:spacing w:val="40"/>
                <w:sz w:val="19"/>
              </w:rPr>
              <w:t> </w:t>
            </w:r>
            <w:r>
              <w:rPr>
                <w:sz w:val="19"/>
              </w:rPr>
              <w:t>en</w:t>
            </w:r>
            <w:r>
              <w:rPr>
                <w:spacing w:val="40"/>
                <w:sz w:val="19"/>
              </w:rPr>
              <w:t> </w:t>
            </w:r>
            <w:r>
              <w:rPr>
                <w:sz w:val="19"/>
              </w:rPr>
              <w:t>espera</w:t>
            </w:r>
            <w:r>
              <w:rPr>
                <w:spacing w:val="40"/>
                <w:sz w:val="19"/>
              </w:rPr>
              <w:t> </w:t>
            </w:r>
            <w:r>
              <w:rPr>
                <w:sz w:val="19"/>
              </w:rPr>
              <w:t>que</w:t>
            </w:r>
            <w:r>
              <w:rPr>
                <w:spacing w:val="40"/>
                <w:sz w:val="19"/>
              </w:rPr>
              <w:t> </w:t>
            </w:r>
            <w:r>
              <w:rPr>
                <w:sz w:val="19"/>
              </w:rPr>
              <w:t>las</w:t>
            </w:r>
            <w:r>
              <w:rPr>
                <w:spacing w:val="40"/>
                <w:sz w:val="19"/>
              </w:rPr>
              <w:t> </w:t>
            </w:r>
            <w:r>
              <w:rPr>
                <w:sz w:val="19"/>
              </w:rPr>
              <w:t>unidades</w:t>
            </w:r>
            <w:r>
              <w:rPr>
                <w:spacing w:val="40"/>
                <w:sz w:val="19"/>
              </w:rPr>
              <w:t> </w:t>
            </w:r>
            <w:r>
              <w:rPr>
                <w:sz w:val="19"/>
              </w:rPr>
              <w:t>envían</w:t>
            </w:r>
            <w:r>
              <w:rPr>
                <w:spacing w:val="40"/>
                <w:sz w:val="19"/>
              </w:rPr>
              <w:t> </w:t>
            </w:r>
            <w:r>
              <w:rPr>
                <w:sz w:val="19"/>
              </w:rPr>
              <w:t>la</w:t>
            </w:r>
            <w:r>
              <w:rPr>
                <w:spacing w:val="40"/>
                <w:sz w:val="19"/>
              </w:rPr>
              <w:t> </w:t>
            </w:r>
            <w:r>
              <w:rPr>
                <w:sz w:val="19"/>
              </w:rPr>
              <w:t>normativa ajustada a Planificación para su publicación</w:t>
            </w:r>
          </w:p>
        </w:tc>
      </w:tr>
    </w:tbl>
    <w:p>
      <w:pPr>
        <w:pStyle w:val="BodyText"/>
        <w:spacing w:before="1"/>
        <w:rPr>
          <w:rFonts w:ascii="Times New Roman"/>
          <w:sz w:val="6"/>
        </w:rPr>
      </w:pPr>
    </w:p>
    <w:p>
      <w:pPr>
        <w:pStyle w:val="BodyText"/>
        <w:spacing w:after="0"/>
        <w:rPr>
          <w:rFonts w:ascii="Times New Roman"/>
          <w:sz w:val="6"/>
        </w:rPr>
        <w:sectPr>
          <w:headerReference w:type="default" r:id="rId21"/>
          <w:footerReference w:type="default" r:id="rId22"/>
          <w:pgSz w:w="13370" w:h="17280"/>
          <w:pgMar w:header="507" w:footer="831" w:top="1340" w:bottom="1020" w:left="1275" w:right="992"/>
        </w:sectPr>
      </w:pPr>
    </w:p>
    <w:p>
      <w:pPr>
        <w:tabs>
          <w:tab w:pos="1648" w:val="left" w:leader="none"/>
        </w:tabs>
        <w:spacing w:before="90"/>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4784">
            <wp:simplePos x="0" y="0"/>
            <wp:positionH relativeFrom="page">
              <wp:posOffset>7333615</wp:posOffset>
            </wp:positionH>
            <wp:positionV relativeFrom="paragraph">
              <wp:posOffset>57153</wp:posOffset>
            </wp:positionV>
            <wp:extent cx="199390" cy="162051"/>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23" cstate="print"/>
                    <a:stretch>
                      <a:fillRect/>
                    </a:stretch>
                  </pic:blipFill>
                  <pic:spPr>
                    <a:xfrm>
                      <a:off x="0" y="0"/>
                      <a:ext cx="199390" cy="162051"/>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1.1.3 Sistema de indicadores diseñado y listo para el monitoreo de los servicios institucionales desde la GpRD y el valor público</w:t>
      </w:r>
    </w:p>
    <w:p>
      <w:pPr>
        <w:spacing w:before="91"/>
        <w:ind w:left="208" w:right="0" w:firstLine="0"/>
        <w:jc w:val="left"/>
        <w:rPr>
          <w:rFonts w:ascii="Times New Roman"/>
          <w:sz w:val="19"/>
        </w:rPr>
      </w:pPr>
      <w:r>
        <w:rPr/>
        <w:br w:type="column"/>
      </w:r>
      <w:r>
        <w:rPr>
          <w:rFonts w:ascii="Times New Roman"/>
          <w:sz w:val="19"/>
        </w:rPr>
        <w:t>20,00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2" w:space="146"/>
            <w:col w:w="1955"/>
          </w:cols>
        </w:sectPr>
      </w:pPr>
    </w:p>
    <w:p>
      <w:pPr>
        <w:pStyle w:val="BodyText"/>
        <w:spacing w:before="1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704"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tcBorders>
          </w:tcPr>
          <w:p>
            <w:pPr>
              <w:pStyle w:val="TableParagraph"/>
              <w:spacing w:line="242" w:lineRule="auto"/>
              <w:ind w:left="42" w:right="40"/>
              <w:jc w:val="both"/>
              <w:rPr>
                <w:sz w:val="19"/>
              </w:rPr>
            </w:pPr>
            <w:r>
              <w:rPr>
                <w:sz w:val="19"/>
              </w:rPr>
              <w:t>PAC 2.4.3.1: Diseñar e implementar un sistema de indicadores para el monitoreo de los servicios institucionales desde el GpRD y valor público</w:t>
            </w:r>
          </w:p>
        </w:tc>
        <w:tc>
          <w:tcPr>
            <w:tcW w:w="4726" w:type="dxa"/>
            <w:tcBorders>
              <w:top w:val="single" w:sz="12" w:space="0" w:color="000000"/>
            </w:tcBorders>
          </w:tcPr>
          <w:p>
            <w:pPr>
              <w:pStyle w:val="TableParagraph"/>
              <w:spacing w:line="242" w:lineRule="auto"/>
              <w:ind w:left="45"/>
              <w:rPr>
                <w:sz w:val="19"/>
              </w:rPr>
            </w:pPr>
            <w:r>
              <w:rPr>
                <w:sz w:val="19"/>
              </w:rPr>
              <w:t>Se</w:t>
            </w:r>
            <w:r>
              <w:rPr>
                <w:spacing w:val="34"/>
                <w:sz w:val="19"/>
              </w:rPr>
              <w:t> </w:t>
            </w:r>
            <w:r>
              <w:rPr>
                <w:sz w:val="19"/>
              </w:rPr>
              <w:t>demora</w:t>
            </w:r>
            <w:r>
              <w:rPr>
                <w:spacing w:val="34"/>
                <w:sz w:val="19"/>
              </w:rPr>
              <w:t> </w:t>
            </w:r>
            <w:r>
              <w:rPr>
                <w:sz w:val="19"/>
              </w:rPr>
              <w:t>la</w:t>
            </w:r>
            <w:r>
              <w:rPr>
                <w:spacing w:val="35"/>
                <w:sz w:val="19"/>
              </w:rPr>
              <w:t> </w:t>
            </w:r>
            <w:r>
              <w:rPr>
                <w:sz w:val="19"/>
              </w:rPr>
              <w:t>actividad</w:t>
            </w:r>
            <w:r>
              <w:rPr>
                <w:spacing w:val="35"/>
                <w:sz w:val="19"/>
              </w:rPr>
              <w:t> </w:t>
            </w:r>
            <w:r>
              <w:rPr>
                <w:sz w:val="19"/>
              </w:rPr>
              <w:t>al</w:t>
            </w:r>
            <w:r>
              <w:rPr>
                <w:spacing w:val="32"/>
                <w:sz w:val="19"/>
              </w:rPr>
              <w:t> </w:t>
            </w:r>
            <w:r>
              <w:rPr>
                <w:sz w:val="19"/>
              </w:rPr>
              <w:t>tener</w:t>
            </w:r>
            <w:r>
              <w:rPr>
                <w:spacing w:val="33"/>
                <w:sz w:val="19"/>
              </w:rPr>
              <w:t> </w:t>
            </w:r>
            <w:r>
              <w:rPr>
                <w:sz w:val="19"/>
              </w:rPr>
              <w:t>que</w:t>
            </w:r>
            <w:r>
              <w:rPr>
                <w:spacing w:val="34"/>
                <w:sz w:val="19"/>
              </w:rPr>
              <w:t> </w:t>
            </w:r>
            <w:r>
              <w:rPr>
                <w:sz w:val="19"/>
              </w:rPr>
              <w:t>revisar</w:t>
            </w:r>
            <w:r>
              <w:rPr>
                <w:spacing w:val="33"/>
                <w:sz w:val="19"/>
              </w:rPr>
              <w:t> </w:t>
            </w:r>
            <w:r>
              <w:rPr>
                <w:sz w:val="19"/>
              </w:rPr>
              <w:t>que</w:t>
            </w:r>
            <w:r>
              <w:rPr>
                <w:spacing w:val="34"/>
                <w:sz w:val="19"/>
              </w:rPr>
              <w:t> </w:t>
            </w:r>
            <w:r>
              <w:rPr>
                <w:sz w:val="19"/>
              </w:rPr>
              <w:t>servicios institucionales cuentan con Teoría del Programa</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831" w:top="1120" w:bottom="1160" w:left="1275" w:right="992"/>
        </w:sectPr>
      </w:pPr>
    </w:p>
    <w:p>
      <w:pPr>
        <w:tabs>
          <w:tab w:pos="1648" w:val="left" w:leader="none"/>
        </w:tabs>
        <w:spacing w:before="79"/>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5296">
            <wp:simplePos x="0" y="0"/>
            <wp:positionH relativeFrom="page">
              <wp:posOffset>7333615</wp:posOffset>
            </wp:positionH>
            <wp:positionV relativeFrom="paragraph">
              <wp:posOffset>49914</wp:posOffset>
            </wp:positionV>
            <wp:extent cx="199390" cy="163829"/>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4" cstate="print"/>
                    <a:stretch>
                      <a:fillRect/>
                    </a:stretch>
                  </pic:blipFill>
                  <pic:spPr>
                    <a:xfrm>
                      <a:off x="0" y="0"/>
                      <a:ext cx="199390" cy="163829"/>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1.10.2</w:t>
      </w:r>
      <w:r>
        <w:rPr>
          <w:rFonts w:ascii="Times New Roman" w:hAnsi="Times New Roman"/>
          <w:spacing w:val="-3"/>
          <w:sz w:val="19"/>
        </w:rPr>
        <w:t> </w:t>
      </w:r>
      <w:r>
        <w:rPr>
          <w:rFonts w:ascii="Times New Roman" w:hAnsi="Times New Roman"/>
          <w:sz w:val="19"/>
        </w:rPr>
        <w:t>Indicadores</w:t>
      </w:r>
      <w:r>
        <w:rPr>
          <w:rFonts w:ascii="Times New Roman" w:hAnsi="Times New Roman"/>
          <w:spacing w:val="-1"/>
          <w:sz w:val="19"/>
        </w:rPr>
        <w:t> </w:t>
      </w:r>
      <w:r>
        <w:rPr>
          <w:rFonts w:ascii="Times New Roman" w:hAnsi="Times New Roman"/>
          <w:sz w:val="19"/>
        </w:rPr>
        <w:t>de</w:t>
      </w:r>
      <w:r>
        <w:rPr>
          <w:rFonts w:ascii="Times New Roman" w:hAnsi="Times New Roman"/>
          <w:spacing w:val="-4"/>
          <w:sz w:val="19"/>
        </w:rPr>
        <w:t> </w:t>
      </w:r>
      <w:r>
        <w:rPr>
          <w:rFonts w:ascii="Times New Roman" w:hAnsi="Times New Roman"/>
          <w:sz w:val="19"/>
        </w:rPr>
        <w:t>gestión</w:t>
      </w:r>
      <w:r>
        <w:rPr>
          <w:rFonts w:ascii="Times New Roman" w:hAnsi="Times New Roman"/>
          <w:spacing w:val="-3"/>
          <w:sz w:val="19"/>
        </w:rPr>
        <w:t> </w:t>
      </w:r>
      <w:r>
        <w:rPr>
          <w:rFonts w:ascii="Times New Roman" w:hAnsi="Times New Roman"/>
          <w:sz w:val="19"/>
        </w:rPr>
        <w:t>presupuestaria</w:t>
      </w:r>
      <w:r>
        <w:rPr>
          <w:rFonts w:ascii="Times New Roman" w:hAnsi="Times New Roman"/>
          <w:spacing w:val="-4"/>
          <w:sz w:val="19"/>
        </w:rPr>
        <w:t> </w:t>
      </w:r>
      <w:r>
        <w:rPr>
          <w:rFonts w:ascii="Times New Roman" w:hAnsi="Times New Roman"/>
          <w:sz w:val="19"/>
        </w:rPr>
        <w:t>diseñados</w:t>
      </w:r>
      <w:r>
        <w:rPr>
          <w:rFonts w:ascii="Times New Roman" w:hAnsi="Times New Roman"/>
          <w:spacing w:val="-3"/>
          <w:sz w:val="19"/>
        </w:rPr>
        <w:t> </w:t>
      </w:r>
      <w:r>
        <w:rPr>
          <w:rFonts w:ascii="Times New Roman" w:hAnsi="Times New Roman"/>
          <w:sz w:val="19"/>
        </w:rPr>
        <w:t>para</w:t>
      </w:r>
      <w:r>
        <w:rPr>
          <w:rFonts w:ascii="Times New Roman" w:hAnsi="Times New Roman"/>
          <w:spacing w:val="-2"/>
          <w:sz w:val="19"/>
        </w:rPr>
        <w:t> </w:t>
      </w:r>
      <w:r>
        <w:rPr>
          <w:rFonts w:ascii="Times New Roman" w:hAnsi="Times New Roman"/>
          <w:sz w:val="19"/>
        </w:rPr>
        <w:t>medir</w:t>
      </w:r>
      <w:r>
        <w:rPr>
          <w:rFonts w:ascii="Times New Roman" w:hAnsi="Times New Roman"/>
          <w:spacing w:val="-2"/>
          <w:sz w:val="19"/>
        </w:rPr>
        <w:t> </w:t>
      </w:r>
      <w:r>
        <w:rPr>
          <w:rFonts w:ascii="Times New Roman" w:hAnsi="Times New Roman"/>
          <w:sz w:val="19"/>
        </w:rPr>
        <w:t>el</w:t>
      </w:r>
      <w:r>
        <w:rPr>
          <w:rFonts w:ascii="Times New Roman" w:hAnsi="Times New Roman"/>
          <w:spacing w:val="-2"/>
          <w:sz w:val="19"/>
        </w:rPr>
        <w:t> </w:t>
      </w:r>
      <w:r>
        <w:rPr>
          <w:rFonts w:ascii="Times New Roman" w:hAnsi="Times New Roman"/>
          <w:sz w:val="19"/>
        </w:rPr>
        <w:t>cumplimiento</w:t>
      </w:r>
      <w:r>
        <w:rPr>
          <w:rFonts w:ascii="Times New Roman" w:hAnsi="Times New Roman"/>
          <w:spacing w:val="-3"/>
          <w:sz w:val="19"/>
        </w:rPr>
        <w:t> </w:t>
      </w:r>
      <w:r>
        <w:rPr>
          <w:rFonts w:ascii="Times New Roman" w:hAnsi="Times New Roman"/>
          <w:sz w:val="19"/>
        </w:rPr>
        <w:t>de</w:t>
      </w:r>
      <w:r>
        <w:rPr>
          <w:rFonts w:ascii="Times New Roman" w:hAnsi="Times New Roman"/>
          <w:spacing w:val="-2"/>
          <w:sz w:val="19"/>
        </w:rPr>
        <w:t> </w:t>
      </w:r>
      <w:r>
        <w:rPr>
          <w:rFonts w:ascii="Times New Roman" w:hAnsi="Times New Roman"/>
          <w:sz w:val="19"/>
        </w:rPr>
        <w:t>las</w:t>
      </w:r>
      <w:r>
        <w:rPr>
          <w:rFonts w:ascii="Times New Roman" w:hAnsi="Times New Roman"/>
          <w:spacing w:val="-3"/>
          <w:sz w:val="19"/>
        </w:rPr>
        <w:t> </w:t>
      </w:r>
      <w:r>
        <w:rPr>
          <w:rFonts w:ascii="Times New Roman" w:hAnsi="Times New Roman"/>
          <w:sz w:val="19"/>
        </w:rPr>
        <w:t>metas basadas en resultados y género.</w:t>
      </w:r>
    </w:p>
    <w:p>
      <w:pPr>
        <w:spacing w:before="80"/>
        <w:ind w:left="208" w:right="0" w:firstLine="0"/>
        <w:jc w:val="left"/>
        <w:rPr>
          <w:rFonts w:ascii="Times New Roman"/>
          <w:sz w:val="19"/>
        </w:rPr>
      </w:pPr>
      <w:r>
        <w:rPr/>
        <w:br w:type="column"/>
      </w:r>
      <w:r>
        <w:rPr>
          <w:rFonts w:ascii="Times New Roman"/>
          <w:sz w:val="19"/>
        </w:rPr>
        <w:t>20,00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5" w:space="143"/>
            <w:col w:w="1955"/>
          </w:cols>
        </w:sectPr>
      </w:pPr>
    </w:p>
    <w:p>
      <w:pPr>
        <w:pStyle w:val="BodyText"/>
        <w:spacing w:before="2"/>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ight="43"/>
              <w:jc w:val="both"/>
              <w:rPr>
                <w:sz w:val="19"/>
              </w:rPr>
            </w:pPr>
            <w:r>
              <w:rPr>
                <w:sz w:val="19"/>
              </w:rPr>
              <w:t>PAC 2.10.5.1: Dar seguimiento al diseño y elaboración de indicadores de gestión presupuestaria idóneos para el cumplimiento de metas basadas en resultado y género</w:t>
            </w:r>
          </w:p>
        </w:tc>
        <w:tc>
          <w:tcPr>
            <w:tcW w:w="4726" w:type="dxa"/>
            <w:tcBorders>
              <w:top w:val="single" w:sz="12" w:space="0" w:color="000000"/>
            </w:tcBorders>
          </w:tcPr>
          <w:p>
            <w:pPr>
              <w:pStyle w:val="TableParagraph"/>
              <w:ind w:left="45"/>
              <w:rPr>
                <w:sz w:val="19"/>
              </w:rPr>
            </w:pPr>
            <w:r>
              <w:rPr>
                <w:sz w:val="19"/>
              </w:rPr>
              <w:t>Este</w:t>
            </w:r>
            <w:r>
              <w:rPr>
                <w:spacing w:val="29"/>
                <w:sz w:val="19"/>
              </w:rPr>
              <w:t> </w:t>
            </w:r>
            <w:r>
              <w:rPr>
                <w:sz w:val="19"/>
              </w:rPr>
              <w:t>año</w:t>
            </w:r>
            <w:r>
              <w:rPr>
                <w:spacing w:val="30"/>
                <w:sz w:val="19"/>
              </w:rPr>
              <w:t> </w:t>
            </w:r>
            <w:r>
              <w:rPr>
                <w:sz w:val="19"/>
              </w:rPr>
              <w:t>hubo</w:t>
            </w:r>
            <w:r>
              <w:rPr>
                <w:spacing w:val="30"/>
                <w:sz w:val="19"/>
              </w:rPr>
              <w:t> </w:t>
            </w:r>
            <w:r>
              <w:rPr>
                <w:sz w:val="19"/>
              </w:rPr>
              <w:t>cambio</w:t>
            </w:r>
            <w:r>
              <w:rPr>
                <w:spacing w:val="30"/>
                <w:sz w:val="19"/>
              </w:rPr>
              <w:t> </w:t>
            </w:r>
            <w:r>
              <w:rPr>
                <w:sz w:val="19"/>
              </w:rPr>
              <w:t>de</w:t>
            </w:r>
            <w:r>
              <w:rPr>
                <w:spacing w:val="29"/>
                <w:sz w:val="19"/>
              </w:rPr>
              <w:t> </w:t>
            </w:r>
            <w:r>
              <w:rPr>
                <w:sz w:val="19"/>
              </w:rPr>
              <w:t>Gerencia</w:t>
            </w:r>
            <w:r>
              <w:rPr>
                <w:spacing w:val="29"/>
                <w:sz w:val="19"/>
              </w:rPr>
              <w:t> </w:t>
            </w:r>
            <w:r>
              <w:rPr>
                <w:sz w:val="19"/>
              </w:rPr>
              <w:t>General,</w:t>
            </w:r>
            <w:r>
              <w:rPr>
                <w:spacing w:val="29"/>
                <w:sz w:val="19"/>
              </w:rPr>
              <w:t> </w:t>
            </w:r>
            <w:r>
              <w:rPr>
                <w:sz w:val="19"/>
              </w:rPr>
              <w:t>la</w:t>
            </w:r>
            <w:r>
              <w:rPr>
                <w:spacing w:val="29"/>
                <w:sz w:val="19"/>
              </w:rPr>
              <w:t> </w:t>
            </w:r>
            <w:r>
              <w:rPr>
                <w:sz w:val="19"/>
              </w:rPr>
              <w:t>cual</w:t>
            </w:r>
            <w:r>
              <w:rPr>
                <w:spacing w:val="29"/>
                <w:sz w:val="19"/>
              </w:rPr>
              <w:t> </w:t>
            </w:r>
            <w:r>
              <w:rPr>
                <w:sz w:val="19"/>
              </w:rPr>
              <w:t>es</w:t>
            </w:r>
            <w:r>
              <w:rPr>
                <w:spacing w:val="29"/>
                <w:sz w:val="19"/>
              </w:rPr>
              <w:t> </w:t>
            </w:r>
            <w:r>
              <w:rPr>
                <w:sz w:val="19"/>
              </w:rPr>
              <w:t>la encargada de la programación de las sesiones.</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831" w:top="1120" w:bottom="1160" w:left="1275" w:right="992"/>
        </w:sectPr>
      </w:pPr>
    </w:p>
    <w:p>
      <w:pPr>
        <w:tabs>
          <w:tab w:pos="1648" w:val="left" w:leader="none"/>
        </w:tabs>
        <w:spacing w:before="79"/>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5808">
            <wp:simplePos x="0" y="0"/>
            <wp:positionH relativeFrom="page">
              <wp:posOffset>7333615</wp:posOffset>
            </wp:positionH>
            <wp:positionV relativeFrom="paragraph">
              <wp:posOffset>50041</wp:posOffset>
            </wp:positionV>
            <wp:extent cx="199390" cy="161925"/>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25" cstate="print"/>
                    <a:stretch>
                      <a:fillRect/>
                    </a:stretch>
                  </pic:blipFill>
                  <pic:spPr>
                    <a:xfrm>
                      <a:off x="0" y="0"/>
                      <a:ext cx="199390" cy="161925"/>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1.2.1 Políticas, programas, proyectos, beneficios y servicios identificados y caracterizados para el desarrollo e implementación del Sistema de Evaluación y Seguimiento</w:t>
      </w:r>
    </w:p>
    <w:p>
      <w:pPr>
        <w:spacing w:before="79"/>
        <w:ind w:left="208" w:right="0" w:firstLine="0"/>
        <w:jc w:val="left"/>
        <w:rPr>
          <w:rFonts w:ascii="Times New Roman"/>
          <w:sz w:val="19"/>
        </w:rPr>
      </w:pPr>
      <w:r>
        <w:rPr/>
        <w:br w:type="column"/>
      </w:r>
      <w:r>
        <w:rPr>
          <w:rFonts w:ascii="Times New Roman"/>
          <w:sz w:val="19"/>
        </w:rPr>
        <w:t>20,00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7" w:space="141"/>
            <w:col w:w="1955"/>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1151" w:hRule="atLeast"/>
        </w:trPr>
        <w:tc>
          <w:tcPr>
            <w:tcW w:w="1709" w:type="dxa"/>
            <w:tcBorders>
              <w:top w:val="single" w:sz="12" w:space="0" w:color="000000"/>
            </w:tcBorders>
          </w:tcPr>
          <w:p>
            <w:pPr>
              <w:pStyle w:val="TableParagraph"/>
              <w:ind w:left="54"/>
              <w:rPr>
                <w:sz w:val="19"/>
              </w:rPr>
            </w:pPr>
            <w:r>
              <w:rPr>
                <w:spacing w:val="-4"/>
                <w:sz w:val="19"/>
              </w:rPr>
              <w:t>2024</w:t>
            </w:r>
          </w:p>
        </w:tc>
        <w:tc>
          <w:tcPr>
            <w:tcW w:w="4030" w:type="dxa"/>
            <w:tcBorders>
              <w:top w:val="single" w:sz="12" w:space="0" w:color="000000"/>
            </w:tcBorders>
          </w:tcPr>
          <w:p>
            <w:pPr>
              <w:pStyle w:val="TableParagraph"/>
              <w:spacing w:line="242" w:lineRule="auto"/>
              <w:ind w:left="42" w:right="43"/>
              <w:jc w:val="both"/>
              <w:rPr>
                <w:sz w:val="19"/>
              </w:rPr>
            </w:pPr>
            <w:r>
              <w:rPr>
                <w:sz w:val="19"/>
              </w:rPr>
              <w:t>PAC 2.4.5.1: Desarrollo</w:t>
            </w:r>
            <w:r>
              <w:rPr>
                <w:spacing w:val="-2"/>
                <w:sz w:val="19"/>
              </w:rPr>
              <w:t> </w:t>
            </w:r>
            <w:r>
              <w:rPr>
                <w:sz w:val="19"/>
              </w:rPr>
              <w:t>de</w:t>
            </w:r>
            <w:r>
              <w:rPr>
                <w:spacing w:val="-1"/>
                <w:sz w:val="19"/>
              </w:rPr>
              <w:t> </w:t>
            </w:r>
            <w:r>
              <w:rPr>
                <w:sz w:val="19"/>
              </w:rPr>
              <w:t>sistema</w:t>
            </w:r>
            <w:r>
              <w:rPr>
                <w:spacing w:val="-1"/>
                <w:sz w:val="19"/>
              </w:rPr>
              <w:t> </w:t>
            </w:r>
            <w:r>
              <w:rPr>
                <w:sz w:val="19"/>
              </w:rPr>
              <w:t>de</w:t>
            </w:r>
            <w:r>
              <w:rPr>
                <w:spacing w:val="-1"/>
                <w:sz w:val="19"/>
              </w:rPr>
              <w:t> </w:t>
            </w:r>
            <w:r>
              <w:rPr>
                <w:sz w:val="19"/>
              </w:rPr>
              <w:t>seguimiento y evaluación de servicios, programas, proyectos, políticas institucionales.</w:t>
            </w:r>
          </w:p>
        </w:tc>
        <w:tc>
          <w:tcPr>
            <w:tcW w:w="4726" w:type="dxa"/>
            <w:tcBorders>
              <w:top w:val="single" w:sz="12" w:space="0" w:color="000000"/>
            </w:tcBorders>
          </w:tcPr>
          <w:p>
            <w:pPr>
              <w:pStyle w:val="TableParagraph"/>
              <w:ind w:left="45" w:right="39"/>
              <w:jc w:val="both"/>
              <w:rPr>
                <w:sz w:val="19"/>
              </w:rPr>
            </w:pPr>
            <w:r>
              <w:rPr>
                <w:sz w:val="19"/>
              </w:rPr>
              <w:t>Se traslada la acción para el III trimestre. Se demora el desarrollo de la actividad por tener que revisar previamente las intervenciones que cuentan o no con la Teoría de Intervención del Programa para orientar</w:t>
            </w:r>
            <w:r>
              <w:rPr>
                <w:spacing w:val="-1"/>
                <w:sz w:val="19"/>
              </w:rPr>
              <w:t> </w:t>
            </w:r>
            <w:r>
              <w:rPr>
                <w:sz w:val="19"/>
              </w:rPr>
              <w:t>la posibilidad de un sistema de seguimiento y evaluación.</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831" w:top="1120" w:bottom="1160" w:left="1275" w:right="992"/>
        </w:sectPr>
      </w:pPr>
    </w:p>
    <w:p>
      <w:pPr>
        <w:tabs>
          <w:tab w:pos="1648" w:val="left" w:leader="none"/>
        </w:tabs>
        <w:spacing w:before="81"/>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6320">
            <wp:simplePos x="0" y="0"/>
            <wp:positionH relativeFrom="page">
              <wp:posOffset>7333615</wp:posOffset>
            </wp:positionH>
            <wp:positionV relativeFrom="paragraph">
              <wp:posOffset>50676</wp:posOffset>
            </wp:positionV>
            <wp:extent cx="199390" cy="16256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25" cstate="print"/>
                    <a:stretch>
                      <a:fillRect/>
                    </a:stretch>
                  </pic:blipFill>
                  <pic:spPr>
                    <a:xfrm>
                      <a:off x="0" y="0"/>
                      <a:ext cx="199390" cy="162560"/>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1.2.3 Políticas, programas, proyectos, beneficios y servicios evaluados y con el desarrollo de la mejora continua</w:t>
      </w:r>
    </w:p>
    <w:p>
      <w:pPr>
        <w:spacing w:before="81"/>
        <w:ind w:left="208" w:right="0" w:firstLine="0"/>
        <w:jc w:val="left"/>
        <w:rPr>
          <w:rFonts w:ascii="Times New Roman"/>
          <w:sz w:val="19"/>
        </w:rPr>
      </w:pPr>
      <w:r>
        <w:rPr/>
        <w:br w:type="column"/>
      </w:r>
      <w:r>
        <w:rPr>
          <w:rFonts w:ascii="Times New Roman"/>
          <w:sz w:val="19"/>
        </w:rPr>
        <w:t>33,33</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0" w:space="148"/>
            <w:col w:w="1955"/>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704"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spacing w:line="242" w:lineRule="auto"/>
              <w:ind w:left="42"/>
              <w:rPr>
                <w:sz w:val="19"/>
              </w:rPr>
            </w:pPr>
            <w:r>
              <w:rPr>
                <w:sz w:val="19"/>
              </w:rPr>
              <w:t>PAC</w:t>
            </w:r>
            <w:r>
              <w:rPr>
                <w:spacing w:val="34"/>
                <w:sz w:val="19"/>
              </w:rPr>
              <w:t> </w:t>
            </w:r>
            <w:r>
              <w:rPr>
                <w:sz w:val="19"/>
              </w:rPr>
              <w:t>2.4.7.1:</w:t>
            </w:r>
            <w:r>
              <w:rPr>
                <w:spacing w:val="33"/>
                <w:sz w:val="19"/>
              </w:rPr>
              <w:t> </w:t>
            </w:r>
            <w:r>
              <w:rPr>
                <w:sz w:val="19"/>
              </w:rPr>
              <w:t>Coordinar</w:t>
            </w:r>
            <w:r>
              <w:rPr>
                <w:spacing w:val="32"/>
                <w:sz w:val="19"/>
              </w:rPr>
              <w:t> </w:t>
            </w:r>
            <w:r>
              <w:rPr>
                <w:sz w:val="19"/>
              </w:rPr>
              <w:t>con</w:t>
            </w:r>
            <w:r>
              <w:rPr>
                <w:spacing w:val="32"/>
                <w:sz w:val="19"/>
              </w:rPr>
              <w:t> </w:t>
            </w:r>
            <w:r>
              <w:rPr>
                <w:sz w:val="19"/>
              </w:rPr>
              <w:t>los</w:t>
            </w:r>
            <w:r>
              <w:rPr>
                <w:spacing w:val="33"/>
                <w:sz w:val="19"/>
              </w:rPr>
              <w:t> </w:t>
            </w:r>
            <w:r>
              <w:rPr>
                <w:sz w:val="19"/>
              </w:rPr>
              <w:t>departamentos</w:t>
            </w:r>
            <w:r>
              <w:rPr>
                <w:spacing w:val="33"/>
                <w:sz w:val="19"/>
              </w:rPr>
              <w:t> </w:t>
            </w:r>
            <w:r>
              <w:rPr>
                <w:sz w:val="19"/>
              </w:rPr>
              <w:t>a cargo de los servicios a evaluar en el 2024.</w:t>
            </w:r>
          </w:p>
        </w:tc>
        <w:tc>
          <w:tcPr>
            <w:tcW w:w="4726" w:type="dxa"/>
            <w:tcBorders>
              <w:top w:val="single" w:sz="12" w:space="0" w:color="000000"/>
              <w:bottom w:val="single" w:sz="12" w:space="0" w:color="000000"/>
            </w:tcBorders>
          </w:tcPr>
          <w:p>
            <w:pPr>
              <w:pStyle w:val="TableParagraph"/>
              <w:spacing w:line="242" w:lineRule="auto"/>
              <w:ind w:left="45" w:right="45"/>
              <w:jc w:val="both"/>
              <w:rPr>
                <w:sz w:val="19"/>
              </w:rPr>
            </w:pPr>
            <w:r>
              <w:rPr>
                <w:sz w:val="19"/>
              </w:rPr>
              <w:t>Se identifico que no eran necesarias 10 sesiones de coordinación por lo cual se reprogramo la meta para 6 sesiones en el año 2024</w:t>
            </w:r>
          </w:p>
        </w:tc>
      </w:tr>
      <w:tr>
        <w:trPr>
          <w:trHeight w:val="702" w:hRule="atLeast"/>
        </w:trPr>
        <w:tc>
          <w:tcPr>
            <w:tcW w:w="1709" w:type="dxa"/>
            <w:tcBorders>
              <w:top w:val="single" w:sz="12" w:space="0" w:color="000000"/>
            </w:tcBorders>
          </w:tcPr>
          <w:p>
            <w:pPr>
              <w:pStyle w:val="TableParagraph"/>
              <w:ind w:left="54"/>
              <w:rPr>
                <w:sz w:val="19"/>
              </w:rPr>
            </w:pPr>
            <w:r>
              <w:rPr>
                <w:spacing w:val="-4"/>
                <w:sz w:val="19"/>
              </w:rPr>
              <w:t>2024</w:t>
            </w:r>
          </w:p>
        </w:tc>
        <w:tc>
          <w:tcPr>
            <w:tcW w:w="4030" w:type="dxa"/>
            <w:tcBorders>
              <w:top w:val="single" w:sz="12" w:space="0" w:color="000000"/>
            </w:tcBorders>
          </w:tcPr>
          <w:p>
            <w:pPr>
              <w:pStyle w:val="TableParagraph"/>
              <w:ind w:left="42"/>
              <w:rPr>
                <w:sz w:val="19"/>
              </w:rPr>
            </w:pPr>
            <w:r>
              <w:rPr>
                <w:sz w:val="19"/>
              </w:rPr>
              <w:t>PAC</w:t>
            </w:r>
            <w:r>
              <w:rPr>
                <w:spacing w:val="-5"/>
                <w:sz w:val="19"/>
              </w:rPr>
              <w:t> </w:t>
            </w:r>
            <w:r>
              <w:rPr>
                <w:sz w:val="19"/>
              </w:rPr>
              <w:t>2.4.7.2:</w:t>
            </w:r>
            <w:r>
              <w:rPr>
                <w:spacing w:val="-5"/>
                <w:sz w:val="19"/>
              </w:rPr>
              <w:t> </w:t>
            </w:r>
            <w:r>
              <w:rPr>
                <w:sz w:val="19"/>
              </w:rPr>
              <w:t>Contratar</w:t>
            </w:r>
            <w:r>
              <w:rPr>
                <w:spacing w:val="-6"/>
                <w:sz w:val="19"/>
              </w:rPr>
              <w:t> </w:t>
            </w:r>
            <w:r>
              <w:rPr>
                <w:sz w:val="19"/>
              </w:rPr>
              <w:t>entidad</w:t>
            </w:r>
            <w:r>
              <w:rPr>
                <w:spacing w:val="-7"/>
                <w:sz w:val="19"/>
              </w:rPr>
              <w:t> </w:t>
            </w:r>
            <w:r>
              <w:rPr>
                <w:sz w:val="19"/>
              </w:rPr>
              <w:t>de</w:t>
            </w:r>
            <w:r>
              <w:rPr>
                <w:spacing w:val="-6"/>
                <w:sz w:val="19"/>
              </w:rPr>
              <w:t> </w:t>
            </w:r>
            <w:r>
              <w:rPr>
                <w:sz w:val="19"/>
              </w:rPr>
              <w:t>apoyo</w:t>
            </w:r>
            <w:r>
              <w:rPr>
                <w:spacing w:val="-4"/>
                <w:sz w:val="19"/>
              </w:rPr>
              <w:t> </w:t>
            </w:r>
            <w:r>
              <w:rPr>
                <w:sz w:val="19"/>
              </w:rPr>
              <w:t>al</w:t>
            </w:r>
            <w:r>
              <w:rPr>
                <w:spacing w:val="-6"/>
                <w:sz w:val="19"/>
              </w:rPr>
              <w:t> </w:t>
            </w:r>
            <w:r>
              <w:rPr>
                <w:sz w:val="19"/>
              </w:rPr>
              <w:t>proceso de evaluación de los servicios seleccionados</w:t>
            </w:r>
          </w:p>
        </w:tc>
        <w:tc>
          <w:tcPr>
            <w:tcW w:w="4726" w:type="dxa"/>
            <w:tcBorders>
              <w:top w:val="single" w:sz="12" w:space="0" w:color="000000"/>
            </w:tcBorders>
          </w:tcPr>
          <w:p>
            <w:pPr>
              <w:pStyle w:val="TableParagraph"/>
              <w:ind w:left="45"/>
              <w:rPr>
                <w:sz w:val="19"/>
              </w:rPr>
            </w:pPr>
            <w:r>
              <w:rPr>
                <w:sz w:val="19"/>
              </w:rPr>
              <w:t>El</w:t>
            </w:r>
            <w:r>
              <w:rPr>
                <w:spacing w:val="23"/>
                <w:sz w:val="19"/>
              </w:rPr>
              <w:t> </w:t>
            </w:r>
            <w:r>
              <w:rPr>
                <w:sz w:val="19"/>
              </w:rPr>
              <w:t>proceso</w:t>
            </w:r>
            <w:r>
              <w:rPr>
                <w:spacing w:val="24"/>
                <w:sz w:val="19"/>
              </w:rPr>
              <w:t> </w:t>
            </w:r>
            <w:r>
              <w:rPr>
                <w:sz w:val="19"/>
              </w:rPr>
              <w:t>se</w:t>
            </w:r>
            <w:r>
              <w:rPr>
                <w:spacing w:val="23"/>
                <w:sz w:val="19"/>
              </w:rPr>
              <w:t> </w:t>
            </w:r>
            <w:r>
              <w:rPr>
                <w:sz w:val="19"/>
              </w:rPr>
              <w:t>encuentra</w:t>
            </w:r>
            <w:r>
              <w:rPr>
                <w:spacing w:val="23"/>
                <w:sz w:val="19"/>
              </w:rPr>
              <w:t> </w:t>
            </w:r>
            <w:r>
              <w:rPr>
                <w:sz w:val="19"/>
              </w:rPr>
              <w:t>en</w:t>
            </w:r>
            <w:r>
              <w:rPr>
                <w:spacing w:val="24"/>
                <w:sz w:val="19"/>
              </w:rPr>
              <w:t> </w:t>
            </w:r>
            <w:r>
              <w:rPr>
                <w:sz w:val="19"/>
              </w:rPr>
              <w:t>SICOP</w:t>
            </w:r>
            <w:r>
              <w:rPr>
                <w:spacing w:val="23"/>
                <w:sz w:val="19"/>
              </w:rPr>
              <w:t> </w:t>
            </w:r>
            <w:r>
              <w:rPr>
                <w:sz w:val="19"/>
              </w:rPr>
              <w:t>en</w:t>
            </w:r>
            <w:r>
              <w:rPr>
                <w:spacing w:val="24"/>
                <w:sz w:val="19"/>
              </w:rPr>
              <w:t> </w:t>
            </w:r>
            <w:r>
              <w:rPr>
                <w:sz w:val="19"/>
              </w:rPr>
              <w:t>proceso</w:t>
            </w:r>
            <w:r>
              <w:rPr>
                <w:spacing w:val="24"/>
                <w:sz w:val="19"/>
              </w:rPr>
              <w:t> </w:t>
            </w:r>
            <w:r>
              <w:rPr>
                <w:sz w:val="19"/>
              </w:rPr>
              <w:t>de</w:t>
            </w:r>
            <w:r>
              <w:rPr>
                <w:spacing w:val="29"/>
                <w:sz w:val="19"/>
              </w:rPr>
              <w:t> </w:t>
            </w:r>
            <w:r>
              <w:rPr>
                <w:sz w:val="19"/>
              </w:rPr>
              <w:t>revisión por la Proveeduría (esperando observaciones)</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831" w:top="1120" w:bottom="1160" w:left="1275" w:right="992"/>
        </w:sectPr>
      </w:pPr>
    </w:p>
    <w:p>
      <w:pPr>
        <w:tabs>
          <w:tab w:pos="1648" w:val="left" w:leader="none"/>
        </w:tabs>
        <w:spacing w:before="79"/>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6832">
            <wp:simplePos x="0" y="0"/>
            <wp:positionH relativeFrom="page">
              <wp:posOffset>7333615</wp:posOffset>
            </wp:positionH>
            <wp:positionV relativeFrom="paragraph">
              <wp:posOffset>49406</wp:posOffset>
            </wp:positionV>
            <wp:extent cx="199390" cy="164337"/>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26" cstate="print"/>
                    <a:stretch>
                      <a:fillRect/>
                    </a:stretch>
                  </pic:blipFill>
                  <pic:spPr>
                    <a:xfrm>
                      <a:off x="0" y="0"/>
                      <a:ext cx="199390" cy="164337"/>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1.3.3</w:t>
      </w:r>
      <w:r>
        <w:rPr>
          <w:rFonts w:ascii="Times New Roman" w:hAnsi="Times New Roman"/>
          <w:spacing w:val="67"/>
          <w:sz w:val="19"/>
        </w:rPr>
        <w:t> </w:t>
      </w:r>
      <w:r>
        <w:rPr>
          <w:rFonts w:ascii="Times New Roman" w:hAnsi="Times New Roman"/>
          <w:sz w:val="19"/>
        </w:rPr>
        <w:t>Indicadores</w:t>
      </w:r>
      <w:r>
        <w:rPr>
          <w:rFonts w:ascii="Times New Roman" w:hAnsi="Times New Roman"/>
          <w:spacing w:val="66"/>
          <w:sz w:val="19"/>
        </w:rPr>
        <w:t> </w:t>
      </w:r>
      <w:r>
        <w:rPr>
          <w:rFonts w:ascii="Times New Roman" w:hAnsi="Times New Roman"/>
          <w:sz w:val="19"/>
        </w:rPr>
        <w:t>de</w:t>
      </w:r>
      <w:r>
        <w:rPr>
          <w:rFonts w:ascii="Times New Roman" w:hAnsi="Times New Roman"/>
          <w:spacing w:val="66"/>
          <w:sz w:val="19"/>
        </w:rPr>
        <w:t> </w:t>
      </w:r>
      <w:r>
        <w:rPr>
          <w:rFonts w:ascii="Times New Roman" w:hAnsi="Times New Roman"/>
          <w:sz w:val="19"/>
        </w:rPr>
        <w:t>gestión</w:t>
      </w:r>
      <w:r>
        <w:rPr>
          <w:rFonts w:ascii="Times New Roman" w:hAnsi="Times New Roman"/>
          <w:spacing w:val="65"/>
          <w:sz w:val="19"/>
        </w:rPr>
        <w:t> </w:t>
      </w:r>
      <w:r>
        <w:rPr>
          <w:rFonts w:ascii="Times New Roman" w:hAnsi="Times New Roman"/>
          <w:sz w:val="19"/>
        </w:rPr>
        <w:t>por</w:t>
      </w:r>
      <w:r>
        <w:rPr>
          <w:rFonts w:ascii="Times New Roman" w:hAnsi="Times New Roman"/>
          <w:spacing w:val="65"/>
          <w:sz w:val="19"/>
        </w:rPr>
        <w:t> </w:t>
      </w:r>
      <w:r>
        <w:rPr>
          <w:rFonts w:ascii="Times New Roman" w:hAnsi="Times New Roman"/>
          <w:sz w:val="19"/>
        </w:rPr>
        <w:t>procesos</w:t>
      </w:r>
      <w:r>
        <w:rPr>
          <w:rFonts w:ascii="Times New Roman" w:hAnsi="Times New Roman"/>
          <w:spacing w:val="66"/>
          <w:sz w:val="19"/>
        </w:rPr>
        <w:t> </w:t>
      </w:r>
      <w:r>
        <w:rPr>
          <w:rFonts w:ascii="Times New Roman" w:hAnsi="Times New Roman"/>
          <w:sz w:val="19"/>
        </w:rPr>
        <w:t>(KPIS)</w:t>
      </w:r>
      <w:r>
        <w:rPr>
          <w:rFonts w:ascii="Times New Roman" w:hAnsi="Times New Roman"/>
          <w:spacing w:val="65"/>
          <w:sz w:val="19"/>
        </w:rPr>
        <w:t> </w:t>
      </w:r>
      <w:r>
        <w:rPr>
          <w:rFonts w:ascii="Times New Roman" w:hAnsi="Times New Roman"/>
          <w:sz w:val="19"/>
        </w:rPr>
        <w:t>definidos</w:t>
      </w:r>
      <w:r>
        <w:rPr>
          <w:rFonts w:ascii="Times New Roman" w:hAnsi="Times New Roman"/>
          <w:spacing w:val="66"/>
          <w:sz w:val="19"/>
        </w:rPr>
        <w:t> </w:t>
      </w:r>
      <w:r>
        <w:rPr>
          <w:rFonts w:ascii="Times New Roman" w:hAnsi="Times New Roman"/>
          <w:sz w:val="19"/>
        </w:rPr>
        <w:t>y</w:t>
      </w:r>
      <w:r>
        <w:rPr>
          <w:rFonts w:ascii="Times New Roman" w:hAnsi="Times New Roman"/>
          <w:spacing w:val="65"/>
          <w:sz w:val="19"/>
        </w:rPr>
        <w:t> </w:t>
      </w:r>
      <w:r>
        <w:rPr>
          <w:rFonts w:ascii="Times New Roman" w:hAnsi="Times New Roman"/>
          <w:sz w:val="19"/>
        </w:rPr>
        <w:t>diseñados</w:t>
      </w:r>
      <w:r>
        <w:rPr>
          <w:rFonts w:ascii="Times New Roman" w:hAnsi="Times New Roman"/>
          <w:spacing w:val="66"/>
          <w:sz w:val="19"/>
        </w:rPr>
        <w:t> </w:t>
      </w:r>
      <w:r>
        <w:rPr>
          <w:rFonts w:ascii="Times New Roman" w:hAnsi="Times New Roman"/>
          <w:sz w:val="19"/>
        </w:rPr>
        <w:t>para</w:t>
      </w:r>
      <w:r>
        <w:rPr>
          <w:rFonts w:ascii="Times New Roman" w:hAnsi="Times New Roman"/>
          <w:spacing w:val="66"/>
          <w:sz w:val="19"/>
        </w:rPr>
        <w:t> </w:t>
      </w:r>
      <w:r>
        <w:rPr>
          <w:rFonts w:ascii="Times New Roman" w:hAnsi="Times New Roman"/>
          <w:sz w:val="19"/>
        </w:rPr>
        <w:t>medir</w:t>
      </w:r>
      <w:r>
        <w:rPr>
          <w:rFonts w:ascii="Times New Roman" w:hAnsi="Times New Roman"/>
          <w:spacing w:val="65"/>
          <w:sz w:val="19"/>
        </w:rPr>
        <w:t> </w:t>
      </w:r>
      <w:r>
        <w:rPr>
          <w:rFonts w:ascii="Times New Roman" w:hAnsi="Times New Roman"/>
          <w:sz w:val="19"/>
        </w:rPr>
        <w:t>el cumplimiento de las metas de cada uno de los procesos institucionales.</w:t>
      </w:r>
    </w:p>
    <w:p>
      <w:pPr>
        <w:spacing w:before="80"/>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2" w:space="240"/>
            <w:col w:w="1861"/>
          </w:cols>
        </w:sectPr>
      </w:pPr>
    </w:p>
    <w:p>
      <w:pPr>
        <w:pStyle w:val="BodyText"/>
        <w:spacing w:before="2"/>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28" w:type="dxa"/>
            <w:tcBorders>
              <w:left w:val="single" w:sz="2" w:space="0" w:color="000000"/>
              <w:bottom w:val="single" w:sz="12" w:space="0" w:color="000000"/>
              <w:right w:val="single" w:sz="2" w:space="0" w:color="000000"/>
            </w:tcBorders>
            <w:shd w:val="clear" w:color="auto" w:fill="E4E4E4"/>
          </w:tcPr>
          <w:p>
            <w:pPr>
              <w:pStyle w:val="TableParagraph"/>
              <w:spacing w:line="207" w:lineRule="exact"/>
              <w:ind w:left="2"/>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28" w:type="dxa"/>
            <w:tcBorders>
              <w:top w:val="single" w:sz="12" w:space="0" w:color="000000"/>
            </w:tcBorders>
          </w:tcPr>
          <w:p>
            <w:pPr>
              <w:pStyle w:val="TableParagraph"/>
              <w:ind w:left="42" w:right="39"/>
              <w:jc w:val="both"/>
              <w:rPr>
                <w:sz w:val="19"/>
              </w:rPr>
            </w:pPr>
            <w:r>
              <w:rPr>
                <w:sz w:val="19"/>
              </w:rPr>
              <w:t>PAC 2.4.10.1: Diseñar indicadores de medición de la gestión por proceso para monitorear el cumplimiento de las metas en cada uno los</w:t>
            </w:r>
            <w:r>
              <w:rPr>
                <w:spacing w:val="40"/>
                <w:sz w:val="19"/>
              </w:rPr>
              <w:t> </w:t>
            </w:r>
            <w:r>
              <w:rPr>
                <w:sz w:val="19"/>
              </w:rPr>
              <w:t>procesos institucionales identificados.</w:t>
            </w:r>
          </w:p>
        </w:tc>
        <w:tc>
          <w:tcPr>
            <w:tcW w:w="4726" w:type="dxa"/>
            <w:tcBorders>
              <w:top w:val="single" w:sz="12" w:space="0" w:color="000000"/>
            </w:tcBorders>
          </w:tcPr>
          <w:p>
            <w:pPr>
              <w:pStyle w:val="TableParagraph"/>
              <w:ind w:left="47"/>
              <w:rPr>
                <w:sz w:val="19"/>
              </w:rPr>
            </w:pPr>
            <w:r>
              <w:rPr>
                <w:sz w:val="19"/>
              </w:rPr>
              <w:t>Para el avance de esta actividad se debe contar con el 100% del mapeo en todas las unidades institucionales</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831" w:top="1120" w:bottom="1160" w:left="1275" w:right="992"/>
        </w:sectPr>
      </w:pPr>
    </w:p>
    <w:p>
      <w:pPr>
        <w:tabs>
          <w:tab w:pos="1648" w:val="left" w:leader="none"/>
        </w:tabs>
        <w:spacing w:before="79"/>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7344">
            <wp:simplePos x="0" y="0"/>
            <wp:positionH relativeFrom="page">
              <wp:posOffset>7333615</wp:posOffset>
            </wp:positionH>
            <wp:positionV relativeFrom="paragraph">
              <wp:posOffset>48899</wp:posOffset>
            </wp:positionV>
            <wp:extent cx="199390" cy="163321"/>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27" cstate="print"/>
                    <a:stretch>
                      <a:fillRect/>
                    </a:stretch>
                  </pic:blipFill>
                  <pic:spPr>
                    <a:xfrm>
                      <a:off x="0" y="0"/>
                      <a:ext cx="199390" cy="163321"/>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1.3.4</w:t>
      </w:r>
      <w:r>
        <w:rPr>
          <w:rFonts w:ascii="Times New Roman" w:hAnsi="Times New Roman"/>
          <w:spacing w:val="80"/>
          <w:sz w:val="19"/>
        </w:rPr>
        <w:t> </w:t>
      </w:r>
      <w:r>
        <w:rPr>
          <w:rFonts w:ascii="Times New Roman" w:hAnsi="Times New Roman"/>
          <w:sz w:val="19"/>
        </w:rPr>
        <w:t>Plataforma</w:t>
      </w:r>
      <w:r>
        <w:rPr>
          <w:rFonts w:ascii="Times New Roman" w:hAnsi="Times New Roman"/>
          <w:spacing w:val="80"/>
          <w:sz w:val="19"/>
        </w:rPr>
        <w:t> </w:t>
      </w:r>
      <w:r>
        <w:rPr>
          <w:rFonts w:ascii="Times New Roman" w:hAnsi="Times New Roman"/>
          <w:sz w:val="19"/>
        </w:rPr>
        <w:t>tecnológica</w:t>
      </w:r>
      <w:r>
        <w:rPr>
          <w:rFonts w:ascii="Times New Roman" w:hAnsi="Times New Roman"/>
          <w:spacing w:val="80"/>
          <w:sz w:val="19"/>
        </w:rPr>
        <w:t> </w:t>
      </w:r>
      <w:r>
        <w:rPr>
          <w:rFonts w:ascii="Times New Roman" w:hAnsi="Times New Roman"/>
          <w:sz w:val="19"/>
        </w:rPr>
        <w:t>desarrollada</w:t>
      </w:r>
      <w:r>
        <w:rPr>
          <w:rFonts w:ascii="Times New Roman" w:hAnsi="Times New Roman"/>
          <w:spacing w:val="80"/>
          <w:sz w:val="19"/>
        </w:rPr>
        <w:t> </w:t>
      </w:r>
      <w:r>
        <w:rPr>
          <w:rFonts w:ascii="Times New Roman" w:hAnsi="Times New Roman"/>
          <w:sz w:val="19"/>
        </w:rPr>
        <w:t>y</w:t>
      </w:r>
      <w:r>
        <w:rPr>
          <w:rFonts w:ascii="Times New Roman" w:hAnsi="Times New Roman"/>
          <w:spacing w:val="80"/>
          <w:sz w:val="19"/>
        </w:rPr>
        <w:t> </w:t>
      </w:r>
      <w:r>
        <w:rPr>
          <w:rFonts w:ascii="Times New Roman" w:hAnsi="Times New Roman"/>
          <w:sz w:val="19"/>
        </w:rPr>
        <w:t>utilizada</w:t>
      </w:r>
      <w:r>
        <w:rPr>
          <w:rFonts w:ascii="Times New Roman" w:hAnsi="Times New Roman"/>
          <w:spacing w:val="80"/>
          <w:sz w:val="19"/>
        </w:rPr>
        <w:t> </w:t>
      </w:r>
      <w:r>
        <w:rPr>
          <w:rFonts w:ascii="Times New Roman" w:hAnsi="Times New Roman"/>
          <w:sz w:val="19"/>
        </w:rPr>
        <w:t>para</w:t>
      </w:r>
      <w:r>
        <w:rPr>
          <w:rFonts w:ascii="Times New Roman" w:hAnsi="Times New Roman"/>
          <w:spacing w:val="80"/>
          <w:sz w:val="19"/>
        </w:rPr>
        <w:t> </w:t>
      </w:r>
      <w:r>
        <w:rPr>
          <w:rFonts w:ascii="Times New Roman" w:hAnsi="Times New Roman"/>
          <w:sz w:val="19"/>
        </w:rPr>
        <w:t>el</w:t>
      </w:r>
      <w:r>
        <w:rPr>
          <w:rFonts w:ascii="Times New Roman" w:hAnsi="Times New Roman"/>
          <w:spacing w:val="80"/>
          <w:sz w:val="19"/>
        </w:rPr>
        <w:t> </w:t>
      </w:r>
      <w:r>
        <w:rPr>
          <w:rFonts w:ascii="Times New Roman" w:hAnsi="Times New Roman"/>
          <w:sz w:val="19"/>
        </w:rPr>
        <w:t>seguimiento,</w:t>
      </w:r>
      <w:r>
        <w:rPr>
          <w:rFonts w:ascii="Times New Roman" w:hAnsi="Times New Roman"/>
          <w:spacing w:val="80"/>
          <w:sz w:val="19"/>
        </w:rPr>
        <w:t> </w:t>
      </w:r>
      <w:r>
        <w:rPr>
          <w:rFonts w:ascii="Times New Roman" w:hAnsi="Times New Roman"/>
          <w:sz w:val="19"/>
        </w:rPr>
        <w:t>control</w:t>
      </w:r>
      <w:r>
        <w:rPr>
          <w:rFonts w:ascii="Times New Roman" w:hAnsi="Times New Roman"/>
          <w:spacing w:val="80"/>
          <w:sz w:val="19"/>
        </w:rPr>
        <w:t> </w:t>
      </w:r>
      <w:r>
        <w:rPr>
          <w:rFonts w:ascii="Times New Roman" w:hAnsi="Times New Roman"/>
          <w:sz w:val="19"/>
        </w:rPr>
        <w:t>y automatización de los procesos institucionales</w:t>
      </w:r>
    </w:p>
    <w:p>
      <w:pPr>
        <w:spacing w:before="79"/>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831" w:top="1120" w:bottom="1160" w:left="1275" w:right="992"/>
          <w:cols w:num="2" w:equalWidth="0">
            <w:col w:w="9005" w:space="236"/>
            <w:col w:w="1862"/>
          </w:cols>
        </w:sectPr>
      </w:pPr>
    </w:p>
    <w:p>
      <w:pPr>
        <w:pStyle w:val="BodyText"/>
        <w:spacing w:before="1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28" w:type="dxa"/>
            <w:tcBorders>
              <w:left w:val="single" w:sz="2" w:space="0" w:color="000000"/>
              <w:bottom w:val="single" w:sz="12" w:space="0" w:color="000000"/>
              <w:right w:val="single" w:sz="2" w:space="0" w:color="000000"/>
            </w:tcBorders>
            <w:shd w:val="clear" w:color="auto" w:fill="E4E4E4"/>
          </w:tcPr>
          <w:p>
            <w:pPr>
              <w:pStyle w:val="TableParagraph"/>
              <w:spacing w:line="207" w:lineRule="exact"/>
              <w:ind w:left="2"/>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jc w:val="center"/>
              <w:rPr>
                <w:b/>
                <w:sz w:val="18"/>
              </w:rPr>
            </w:pPr>
            <w:r>
              <w:rPr>
                <w:b/>
                <w:spacing w:val="-2"/>
                <w:sz w:val="18"/>
              </w:rPr>
              <w:t>Justificación</w:t>
            </w:r>
          </w:p>
        </w:tc>
      </w:tr>
      <w:tr>
        <w:trPr>
          <w:trHeight w:val="704"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28" w:type="dxa"/>
            <w:tcBorders>
              <w:top w:val="single" w:sz="12" w:space="0" w:color="000000"/>
              <w:bottom w:val="single" w:sz="12" w:space="0" w:color="000000"/>
            </w:tcBorders>
          </w:tcPr>
          <w:p>
            <w:pPr>
              <w:pStyle w:val="TableParagraph"/>
              <w:spacing w:line="242" w:lineRule="auto"/>
              <w:ind w:left="42" w:right="39"/>
              <w:jc w:val="both"/>
              <w:rPr>
                <w:sz w:val="19"/>
              </w:rPr>
            </w:pPr>
            <w:r>
              <w:rPr>
                <w:sz w:val="19"/>
              </w:rPr>
              <w:t>PAC</w:t>
            </w:r>
            <w:r>
              <w:rPr>
                <w:spacing w:val="-4"/>
                <w:sz w:val="19"/>
              </w:rPr>
              <w:t> </w:t>
            </w:r>
            <w:r>
              <w:rPr>
                <w:sz w:val="19"/>
              </w:rPr>
              <w:t>2.4.11.1:</w:t>
            </w:r>
            <w:r>
              <w:rPr>
                <w:spacing w:val="-7"/>
                <w:sz w:val="19"/>
              </w:rPr>
              <w:t> </w:t>
            </w:r>
            <w:r>
              <w:rPr>
                <w:sz w:val="19"/>
              </w:rPr>
              <w:t>Desarrollo</w:t>
            </w:r>
            <w:r>
              <w:rPr>
                <w:spacing w:val="-4"/>
                <w:sz w:val="19"/>
              </w:rPr>
              <w:t> </w:t>
            </w:r>
            <w:r>
              <w:rPr>
                <w:sz w:val="19"/>
              </w:rPr>
              <w:t>de</w:t>
            </w:r>
            <w:r>
              <w:rPr>
                <w:spacing w:val="-7"/>
                <w:sz w:val="19"/>
              </w:rPr>
              <w:t> </w:t>
            </w:r>
            <w:r>
              <w:rPr>
                <w:sz w:val="19"/>
              </w:rPr>
              <w:t>proyecto</w:t>
            </w:r>
            <w:r>
              <w:rPr>
                <w:spacing w:val="-6"/>
                <w:sz w:val="19"/>
              </w:rPr>
              <w:t> </w:t>
            </w:r>
            <w:r>
              <w:rPr>
                <w:sz w:val="19"/>
              </w:rPr>
              <w:t>para</w:t>
            </w:r>
            <w:r>
              <w:rPr>
                <w:spacing w:val="-5"/>
                <w:sz w:val="19"/>
              </w:rPr>
              <w:t> </w:t>
            </w:r>
            <w:r>
              <w:rPr>
                <w:sz w:val="19"/>
              </w:rPr>
              <w:t>elaborar plataforma tecnológica para el seguimiento de </w:t>
            </w:r>
            <w:r>
              <w:rPr>
                <w:spacing w:val="-2"/>
                <w:sz w:val="19"/>
              </w:rPr>
              <w:t>procesos.</w:t>
            </w:r>
          </w:p>
        </w:tc>
        <w:tc>
          <w:tcPr>
            <w:tcW w:w="4726" w:type="dxa"/>
            <w:tcBorders>
              <w:top w:val="single" w:sz="12" w:space="0" w:color="000000"/>
              <w:bottom w:val="single" w:sz="12" w:space="0" w:color="000000"/>
            </w:tcBorders>
          </w:tcPr>
          <w:p>
            <w:pPr>
              <w:pStyle w:val="TableParagraph"/>
              <w:spacing w:line="242" w:lineRule="auto"/>
              <w:ind w:left="47"/>
              <w:rPr>
                <w:sz w:val="19"/>
              </w:rPr>
            </w:pPr>
            <w:r>
              <w:rPr>
                <w:sz w:val="19"/>
              </w:rPr>
              <w:t>Para el avance de esta actividad se debe contar con el 100% del mapeo en todas las unidades institucionales</w:t>
            </w:r>
          </w:p>
        </w:tc>
      </w:tr>
      <w:tr>
        <w:trPr>
          <w:trHeight w:val="476"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28" w:type="dxa"/>
            <w:tcBorders>
              <w:top w:val="single" w:sz="12" w:space="0" w:color="000000"/>
            </w:tcBorders>
          </w:tcPr>
          <w:p>
            <w:pPr>
              <w:pStyle w:val="TableParagraph"/>
              <w:spacing w:before="2"/>
              <w:ind w:left="42"/>
              <w:rPr>
                <w:sz w:val="19"/>
              </w:rPr>
            </w:pPr>
            <w:r>
              <w:rPr>
                <w:sz w:val="19"/>
              </w:rPr>
              <w:t>PAC</w:t>
            </w:r>
            <w:r>
              <w:rPr>
                <w:spacing w:val="-7"/>
                <w:sz w:val="19"/>
              </w:rPr>
              <w:t> </w:t>
            </w:r>
            <w:r>
              <w:rPr>
                <w:sz w:val="19"/>
              </w:rPr>
              <w:t>2.4.11.2:</w:t>
            </w:r>
            <w:r>
              <w:rPr>
                <w:spacing w:val="-7"/>
                <w:sz w:val="19"/>
              </w:rPr>
              <w:t> </w:t>
            </w:r>
            <w:r>
              <w:rPr>
                <w:sz w:val="19"/>
              </w:rPr>
              <w:t>Valoración</w:t>
            </w:r>
            <w:r>
              <w:rPr>
                <w:spacing w:val="-8"/>
                <w:sz w:val="19"/>
              </w:rPr>
              <w:t> </w:t>
            </w:r>
            <w:r>
              <w:rPr>
                <w:sz w:val="19"/>
              </w:rPr>
              <w:t>de</w:t>
            </w:r>
            <w:r>
              <w:rPr>
                <w:spacing w:val="-8"/>
                <w:sz w:val="19"/>
              </w:rPr>
              <w:t> </w:t>
            </w:r>
            <w:r>
              <w:rPr>
                <w:sz w:val="19"/>
              </w:rPr>
              <w:t>plataforma</w:t>
            </w:r>
            <w:r>
              <w:rPr>
                <w:spacing w:val="-7"/>
                <w:sz w:val="19"/>
              </w:rPr>
              <w:t> </w:t>
            </w:r>
            <w:r>
              <w:rPr>
                <w:sz w:val="19"/>
              </w:rPr>
              <w:t>a</w:t>
            </w:r>
            <w:r>
              <w:rPr>
                <w:spacing w:val="-7"/>
                <w:sz w:val="19"/>
              </w:rPr>
              <w:t> </w:t>
            </w:r>
            <w:r>
              <w:rPr>
                <w:spacing w:val="-2"/>
                <w:sz w:val="19"/>
              </w:rPr>
              <w:t>utilizar.</w:t>
            </w:r>
          </w:p>
        </w:tc>
        <w:tc>
          <w:tcPr>
            <w:tcW w:w="4726" w:type="dxa"/>
            <w:tcBorders>
              <w:top w:val="single" w:sz="12" w:space="0" w:color="000000"/>
            </w:tcBorders>
          </w:tcPr>
          <w:p>
            <w:pPr>
              <w:pStyle w:val="TableParagraph"/>
              <w:ind w:left="47"/>
              <w:rPr>
                <w:sz w:val="19"/>
              </w:rPr>
            </w:pPr>
            <w:r>
              <w:rPr>
                <w:sz w:val="19"/>
              </w:rPr>
              <w:t>Para el avance de esta actividad se debe contar con el 100% del mapeo en todas las unidades institucionales</w:t>
            </w:r>
          </w:p>
        </w:tc>
      </w:tr>
    </w:tbl>
    <w:p>
      <w:pPr>
        <w:tabs>
          <w:tab w:pos="1648" w:val="left" w:leader="none"/>
          <w:tab w:pos="9450" w:val="left" w:leader="none"/>
        </w:tabs>
        <w:spacing w:before="151"/>
        <w:ind w:left="208" w:right="0" w:firstLine="0"/>
        <w:jc w:val="left"/>
        <w:rPr>
          <w:rFonts w:ascii="Times New Roman" w:hAnsi="Times New Roman"/>
          <w:sz w:val="19"/>
        </w:rPr>
      </w:pPr>
      <w:r>
        <w:rPr>
          <w:rFonts w:ascii="Times New Roman" w:hAnsi="Times New Roman"/>
          <w:sz w:val="19"/>
        </w:rPr>
        <mc:AlternateContent>
          <mc:Choice Requires="wps">
            <w:drawing>
              <wp:anchor distT="0" distB="0" distL="0" distR="0" allowOverlap="1" layoutInCell="1" locked="0" behindDoc="1" simplePos="0" relativeHeight="486293504">
                <wp:simplePos x="0" y="0"/>
                <wp:positionH relativeFrom="page">
                  <wp:posOffset>7333615</wp:posOffset>
                </wp:positionH>
                <wp:positionV relativeFrom="paragraph">
                  <wp:posOffset>94996</wp:posOffset>
                </wp:positionV>
                <wp:extent cx="237490" cy="30480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237490" cy="304800"/>
                          <a:chExt cx="237490" cy="304800"/>
                        </a:xfrm>
                      </wpg:grpSpPr>
                      <wps:wsp>
                        <wps:cNvPr id="39" name="Graphic 39"/>
                        <wps:cNvSpPr/>
                        <wps:spPr>
                          <a:xfrm>
                            <a:off x="234315" y="1523"/>
                            <a:ext cx="3175" cy="303530"/>
                          </a:xfrm>
                          <a:custGeom>
                            <a:avLst/>
                            <a:gdLst/>
                            <a:ahLst/>
                            <a:cxnLst/>
                            <a:rect l="l" t="t" r="r" b="b"/>
                            <a:pathLst>
                              <a:path w="3175" h="303530">
                                <a:moveTo>
                                  <a:pt x="3047" y="0"/>
                                </a:moveTo>
                                <a:lnTo>
                                  <a:pt x="0" y="0"/>
                                </a:lnTo>
                                <a:lnTo>
                                  <a:pt x="0" y="303276"/>
                                </a:lnTo>
                                <a:lnTo>
                                  <a:pt x="3047" y="303276"/>
                                </a:lnTo>
                                <a:lnTo>
                                  <a:pt x="3047" y="0"/>
                                </a:lnTo>
                                <a:close/>
                              </a:path>
                            </a:pathLst>
                          </a:custGeom>
                          <a:solidFill>
                            <a:srgbClr val="FFFFFF"/>
                          </a:solidFill>
                        </wps:spPr>
                        <wps:bodyPr wrap="square" lIns="0" tIns="0" rIns="0" bIns="0" rtlCol="0">
                          <a:prstTxWarp prst="textNoShape">
                            <a:avLst/>
                          </a:prstTxWarp>
                          <a:noAutofit/>
                        </wps:bodyPr>
                      </wps:wsp>
                      <pic:pic>
                        <pic:nvPicPr>
                          <pic:cNvPr id="40" name="Image 40"/>
                          <pic:cNvPicPr/>
                        </pic:nvPicPr>
                        <pic:blipFill>
                          <a:blip r:embed="rId28" cstate="print"/>
                          <a:stretch>
                            <a:fillRect/>
                          </a:stretch>
                        </pic:blipFill>
                        <pic:spPr>
                          <a:xfrm>
                            <a:off x="0" y="0"/>
                            <a:ext cx="199390" cy="163067"/>
                          </a:xfrm>
                          <a:prstGeom prst="rect">
                            <a:avLst/>
                          </a:prstGeom>
                        </pic:spPr>
                      </pic:pic>
                    </wpg:wgp>
                  </a:graphicData>
                </a:graphic>
              </wp:anchor>
            </w:drawing>
          </mc:Choice>
          <mc:Fallback>
            <w:pict>
              <v:group style="position:absolute;margin-left:577.450012pt;margin-top:7.48003pt;width:18.7pt;height:24pt;mso-position-horizontal-relative:page;mso-position-vertical-relative:paragraph;z-index:-17022976" id="docshapegroup18" coordorigin="11549,150" coordsize="374,480">
                <v:rect style="position:absolute;left:11918;top:152;width:5;height:478" id="docshape19" filled="true" fillcolor="#ffffff" stroked="false">
                  <v:fill type="solid"/>
                </v:rect>
                <v:shape style="position:absolute;left:11549;top:149;width:314;height:257" type="#_x0000_t75" id="docshape20" stroked="false">
                  <v:imagedata r:id="rId28" o:title=""/>
                </v:shape>
                <w10:wrap type="none"/>
              </v:group>
            </w:pict>
          </mc:Fallback>
        </mc:AlternateContent>
      </w:r>
      <w:r>
        <w:rPr>
          <w:rFonts w:ascii="Times New Roman" w:hAnsi="Times New Roman"/>
          <w:b/>
          <w:position w:val="1"/>
          <w:sz w:val="18"/>
        </w:rPr>
        <w:t>Resultado</w:t>
      </w:r>
      <w:r>
        <w:rPr>
          <w:rFonts w:ascii="Times New Roman" w:hAnsi="Times New Roman"/>
          <w:b/>
          <w:spacing w:val="-2"/>
          <w:position w:val="1"/>
          <w:sz w:val="18"/>
        </w:rPr>
        <w:t> </w:t>
      </w:r>
      <w:r>
        <w:rPr>
          <w:rFonts w:ascii="Times New Roman" w:hAnsi="Times New Roman"/>
          <w:b/>
          <w:spacing w:val="-5"/>
          <w:position w:val="1"/>
          <w:sz w:val="18"/>
        </w:rPr>
        <w:t>PEI</w:t>
      </w:r>
      <w:r>
        <w:rPr>
          <w:rFonts w:ascii="Times New Roman" w:hAnsi="Times New Roman"/>
          <w:b/>
          <w:position w:val="1"/>
          <w:sz w:val="18"/>
        </w:rPr>
        <w:tab/>
      </w:r>
      <w:r>
        <w:rPr>
          <w:rFonts w:ascii="Times New Roman" w:hAnsi="Times New Roman"/>
          <w:sz w:val="19"/>
        </w:rPr>
        <w:t>1.3.5</w:t>
      </w:r>
      <w:r>
        <w:rPr>
          <w:rFonts w:ascii="Times New Roman" w:hAnsi="Times New Roman"/>
          <w:spacing w:val="2"/>
          <w:sz w:val="19"/>
        </w:rPr>
        <w:t> </w:t>
      </w:r>
      <w:r>
        <w:rPr>
          <w:rFonts w:ascii="Times New Roman" w:hAnsi="Times New Roman"/>
          <w:sz w:val="19"/>
        </w:rPr>
        <w:t>Personas</w:t>
      </w:r>
      <w:r>
        <w:rPr>
          <w:rFonts w:ascii="Times New Roman" w:hAnsi="Times New Roman"/>
          <w:spacing w:val="3"/>
          <w:sz w:val="19"/>
        </w:rPr>
        <w:t> </w:t>
      </w:r>
      <w:r>
        <w:rPr>
          <w:rFonts w:ascii="Times New Roman" w:hAnsi="Times New Roman"/>
          <w:sz w:val="19"/>
        </w:rPr>
        <w:t>funcionarias</w:t>
      </w:r>
      <w:r>
        <w:rPr>
          <w:rFonts w:ascii="Times New Roman" w:hAnsi="Times New Roman"/>
          <w:spacing w:val="3"/>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institución</w:t>
      </w:r>
      <w:r>
        <w:rPr>
          <w:rFonts w:ascii="Times New Roman" w:hAnsi="Times New Roman"/>
          <w:spacing w:val="3"/>
          <w:sz w:val="19"/>
        </w:rPr>
        <w:t> </w:t>
      </w:r>
      <w:r>
        <w:rPr>
          <w:rFonts w:ascii="Times New Roman" w:hAnsi="Times New Roman"/>
          <w:sz w:val="19"/>
        </w:rPr>
        <w:t>capacitadas</w:t>
      </w:r>
      <w:r>
        <w:rPr>
          <w:rFonts w:ascii="Times New Roman" w:hAnsi="Times New Roman"/>
          <w:spacing w:val="1"/>
          <w:sz w:val="19"/>
        </w:rPr>
        <w:t> </w:t>
      </w:r>
      <w:r>
        <w:rPr>
          <w:rFonts w:ascii="Times New Roman" w:hAnsi="Times New Roman"/>
          <w:sz w:val="19"/>
        </w:rPr>
        <w:t>y</w:t>
      </w:r>
      <w:r>
        <w:rPr>
          <w:rFonts w:ascii="Times New Roman" w:hAnsi="Times New Roman"/>
          <w:spacing w:val="3"/>
          <w:sz w:val="19"/>
        </w:rPr>
        <w:t> </w:t>
      </w:r>
      <w:r>
        <w:rPr>
          <w:rFonts w:ascii="Times New Roman" w:hAnsi="Times New Roman"/>
          <w:sz w:val="19"/>
        </w:rPr>
        <w:t>aplicando</w:t>
      </w:r>
      <w:r>
        <w:rPr>
          <w:rFonts w:ascii="Times New Roman" w:hAnsi="Times New Roman"/>
          <w:spacing w:val="2"/>
          <w:sz w:val="19"/>
        </w:rPr>
        <w:t> </w:t>
      </w:r>
      <w:r>
        <w:rPr>
          <w:rFonts w:ascii="Times New Roman" w:hAnsi="Times New Roman"/>
          <w:sz w:val="19"/>
        </w:rPr>
        <w:t>la</w:t>
      </w:r>
      <w:r>
        <w:rPr>
          <w:rFonts w:ascii="Times New Roman" w:hAnsi="Times New Roman"/>
          <w:spacing w:val="2"/>
          <w:sz w:val="19"/>
        </w:rPr>
        <w:t> </w:t>
      </w:r>
      <w:r>
        <w:rPr>
          <w:rFonts w:ascii="Times New Roman" w:hAnsi="Times New Roman"/>
          <w:sz w:val="19"/>
        </w:rPr>
        <w:t>metodología</w:t>
      </w:r>
      <w:r>
        <w:rPr>
          <w:rFonts w:ascii="Times New Roman" w:hAnsi="Times New Roman"/>
          <w:spacing w:val="2"/>
          <w:sz w:val="19"/>
        </w:rPr>
        <w:t> </w:t>
      </w:r>
      <w:r>
        <w:rPr>
          <w:rFonts w:ascii="Times New Roman" w:hAnsi="Times New Roman"/>
          <w:sz w:val="19"/>
        </w:rPr>
        <w:t>de</w:t>
      </w:r>
      <w:r>
        <w:rPr>
          <w:rFonts w:ascii="Times New Roman" w:hAnsi="Times New Roman"/>
          <w:spacing w:val="2"/>
          <w:sz w:val="19"/>
        </w:rPr>
        <w:t> </w:t>
      </w:r>
      <w:r>
        <w:rPr>
          <w:rFonts w:ascii="Times New Roman" w:hAnsi="Times New Roman"/>
          <w:spacing w:val="-2"/>
          <w:sz w:val="19"/>
        </w:rPr>
        <w:t>gestión</w:t>
      </w:r>
      <w:r>
        <w:rPr>
          <w:rFonts w:ascii="Times New Roman" w:hAnsi="Times New Roman"/>
          <w:sz w:val="19"/>
        </w:rPr>
        <w:tab/>
        <w:t>0,00</w:t>
      </w:r>
      <w:r>
        <w:rPr>
          <w:rFonts w:ascii="Times New Roman" w:hAnsi="Times New Roman"/>
          <w:spacing w:val="33"/>
          <w:sz w:val="19"/>
        </w:rPr>
        <w:t> </w:t>
      </w:r>
      <w:r>
        <w:rPr>
          <w:rFonts w:ascii="Times New Roman" w:hAnsi="Times New Roman"/>
          <w:spacing w:val="-10"/>
          <w:sz w:val="19"/>
        </w:rPr>
        <w:t>%</w:t>
      </w:r>
    </w:p>
    <w:p>
      <w:pPr>
        <w:spacing w:after="0"/>
        <w:jc w:val="left"/>
        <w:rPr>
          <w:rFonts w:ascii="Times New Roman" w:hAnsi="Times New Roman"/>
          <w:sz w:val="19"/>
        </w:rPr>
        <w:sectPr>
          <w:type w:val="continuous"/>
          <w:pgSz w:w="13370" w:h="17280"/>
          <w:pgMar w:header="507" w:footer="831" w:top="1120" w:bottom="1160" w:left="1275" w:right="992"/>
        </w:sectPr>
      </w:pPr>
    </w:p>
    <w:p>
      <w:pPr>
        <w:pStyle w:val="BodyText"/>
        <w:rPr>
          <w:rFonts w:ascii="Times New Roman"/>
          <w:sz w:val="20"/>
        </w:rPr>
      </w:pPr>
    </w:p>
    <w:p>
      <w:pPr>
        <w:pStyle w:val="BodyText"/>
        <w:rPr>
          <w:rFonts w:ascii="Times New Roman"/>
          <w:sz w:val="20"/>
        </w:rPr>
      </w:pPr>
    </w:p>
    <w:p>
      <w:pPr>
        <w:pStyle w:val="BodyText"/>
        <w:spacing w:before="115"/>
        <w:rPr>
          <w:rFonts w:ascii="Times New Roman"/>
          <w:sz w:val="20"/>
        </w:rPr>
      </w:pPr>
    </w:p>
    <w:p>
      <w:pPr>
        <w:pStyle w:val="BodyText"/>
        <w:spacing w:after="0"/>
        <w:rPr>
          <w:rFonts w:ascii="Times New Roman"/>
          <w:sz w:val="20"/>
        </w:rPr>
        <w:sectPr>
          <w:headerReference w:type="default" r:id="rId29"/>
          <w:footerReference w:type="default" r:id="rId30"/>
          <w:pgSz w:w="13370" w:h="17280"/>
          <w:pgMar w:header="507" w:footer="776" w:top="1340" w:bottom="960" w:left="1275" w:right="992"/>
          <w:pgNumType w:start="11"/>
        </w:sectPr>
      </w:pPr>
    </w:p>
    <w:p>
      <w:pPr>
        <w:tabs>
          <w:tab w:pos="1648" w:val="left" w:leader="none"/>
        </w:tabs>
        <w:spacing w:before="92"/>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8368">
            <wp:simplePos x="0" y="0"/>
            <wp:positionH relativeFrom="page">
              <wp:posOffset>7333615</wp:posOffset>
            </wp:positionH>
            <wp:positionV relativeFrom="paragraph">
              <wp:posOffset>59092</wp:posOffset>
            </wp:positionV>
            <wp:extent cx="199390" cy="161544"/>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31" cstate="print"/>
                    <a:stretch>
                      <a:fillRect/>
                    </a:stretch>
                  </pic:blipFill>
                  <pic:spPr>
                    <a:xfrm>
                      <a:off x="0" y="0"/>
                      <a:ext cx="199390" cy="161544"/>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1.4.1 Sistema</w:t>
      </w:r>
      <w:r>
        <w:rPr>
          <w:rFonts w:ascii="Times New Roman" w:hAnsi="Times New Roman"/>
          <w:spacing w:val="-1"/>
          <w:sz w:val="19"/>
        </w:rPr>
        <w:t> </w:t>
      </w:r>
      <w:r>
        <w:rPr>
          <w:rFonts w:ascii="Times New Roman" w:hAnsi="Times New Roman"/>
          <w:sz w:val="19"/>
        </w:rPr>
        <w:t>de</w:t>
      </w:r>
      <w:r>
        <w:rPr>
          <w:rFonts w:ascii="Times New Roman" w:hAnsi="Times New Roman"/>
          <w:spacing w:val="-1"/>
          <w:sz w:val="19"/>
        </w:rPr>
        <w:t> </w:t>
      </w:r>
      <w:r>
        <w:rPr>
          <w:rFonts w:ascii="Times New Roman" w:hAnsi="Times New Roman"/>
          <w:sz w:val="19"/>
        </w:rPr>
        <w:t>indicadores de</w:t>
      </w:r>
      <w:r>
        <w:rPr>
          <w:rFonts w:ascii="Times New Roman" w:hAnsi="Times New Roman"/>
          <w:spacing w:val="-3"/>
          <w:sz w:val="19"/>
        </w:rPr>
        <w:t> </w:t>
      </w:r>
      <w:r>
        <w:rPr>
          <w:rFonts w:ascii="Times New Roman" w:hAnsi="Times New Roman"/>
          <w:sz w:val="19"/>
        </w:rPr>
        <w:t>resultados y de</w:t>
      </w:r>
      <w:r>
        <w:rPr>
          <w:rFonts w:ascii="Times New Roman" w:hAnsi="Times New Roman"/>
          <w:spacing w:val="-1"/>
          <w:sz w:val="19"/>
        </w:rPr>
        <w:t> </w:t>
      </w:r>
      <w:r>
        <w:rPr>
          <w:rFonts w:ascii="Times New Roman" w:hAnsi="Times New Roman"/>
          <w:sz w:val="19"/>
        </w:rPr>
        <w:t>impacto de</w:t>
      </w:r>
      <w:r>
        <w:rPr>
          <w:rFonts w:ascii="Times New Roman" w:hAnsi="Times New Roman"/>
          <w:spacing w:val="-1"/>
          <w:sz w:val="19"/>
        </w:rPr>
        <w:t> </w:t>
      </w:r>
      <w:r>
        <w:rPr>
          <w:rFonts w:ascii="Times New Roman" w:hAnsi="Times New Roman"/>
          <w:sz w:val="19"/>
        </w:rPr>
        <w:t>cada</w:t>
      </w:r>
      <w:r>
        <w:rPr>
          <w:rFonts w:ascii="Times New Roman" w:hAnsi="Times New Roman"/>
          <w:spacing w:val="-1"/>
          <w:sz w:val="19"/>
        </w:rPr>
        <w:t> </w:t>
      </w:r>
      <w:r>
        <w:rPr>
          <w:rFonts w:ascii="Times New Roman" w:hAnsi="Times New Roman"/>
          <w:sz w:val="19"/>
        </w:rPr>
        <w:t>servicio de</w:t>
      </w:r>
      <w:r>
        <w:rPr>
          <w:rFonts w:ascii="Times New Roman" w:hAnsi="Times New Roman"/>
          <w:spacing w:val="-1"/>
          <w:sz w:val="19"/>
        </w:rPr>
        <w:t> </w:t>
      </w:r>
      <w:r>
        <w:rPr>
          <w:rFonts w:ascii="Times New Roman" w:hAnsi="Times New Roman"/>
          <w:sz w:val="19"/>
        </w:rPr>
        <w:t>inversión</w:t>
      </w:r>
      <w:r>
        <w:rPr>
          <w:rFonts w:ascii="Times New Roman" w:hAnsi="Times New Roman"/>
          <w:spacing w:val="-2"/>
          <w:sz w:val="19"/>
        </w:rPr>
        <w:t> </w:t>
      </w:r>
      <w:r>
        <w:rPr>
          <w:rFonts w:ascii="Times New Roman" w:hAnsi="Times New Roman"/>
          <w:sz w:val="19"/>
        </w:rPr>
        <w:t>social</w:t>
      </w:r>
      <w:r>
        <w:rPr>
          <w:rFonts w:ascii="Times New Roman" w:hAnsi="Times New Roman"/>
          <w:spacing w:val="-1"/>
          <w:sz w:val="19"/>
        </w:rPr>
        <w:t> </w:t>
      </w:r>
      <w:r>
        <w:rPr>
          <w:rFonts w:ascii="Times New Roman" w:hAnsi="Times New Roman"/>
          <w:sz w:val="19"/>
        </w:rPr>
        <w:t>del IMAS monitoreado desde el SINIRUBE.</w:t>
      </w:r>
    </w:p>
    <w:p>
      <w:pPr>
        <w:spacing w:before="93"/>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3" w:space="238"/>
            <w:col w:w="1862"/>
          </w:cols>
        </w:sectPr>
      </w:pPr>
    </w:p>
    <w:p>
      <w:pPr>
        <w:pStyle w:val="BodyText"/>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ight="40"/>
              <w:jc w:val="both"/>
              <w:rPr>
                <w:sz w:val="19"/>
              </w:rPr>
            </w:pPr>
            <w:r>
              <w:rPr>
                <w:sz w:val="19"/>
              </w:rPr>
              <w:t>PAC 2.4.13.1: Coordinación con SGDS y SINIRUBE para diseñar un plan de monitoreo y seguimiento de los indicadores que se definieron (identificados en el Producto PAC 1.3)</w:t>
            </w:r>
          </w:p>
        </w:tc>
        <w:tc>
          <w:tcPr>
            <w:tcW w:w="4726" w:type="dxa"/>
            <w:tcBorders>
              <w:top w:val="single" w:sz="12" w:space="0" w:color="000000"/>
            </w:tcBorders>
          </w:tcPr>
          <w:p>
            <w:pPr>
              <w:pStyle w:val="TableParagraph"/>
              <w:ind w:left="45" w:right="41"/>
              <w:jc w:val="both"/>
              <w:rPr>
                <w:sz w:val="19"/>
              </w:rPr>
            </w:pPr>
            <w:r>
              <w:rPr>
                <w:sz w:val="19"/>
              </w:rPr>
              <w:t>Para poder realizar este tipo de sesiones es necesario contar con el</w:t>
            </w:r>
            <w:r>
              <w:rPr>
                <w:spacing w:val="-1"/>
                <w:sz w:val="19"/>
              </w:rPr>
              <w:t> </w:t>
            </w:r>
            <w:r>
              <w:rPr>
                <w:sz w:val="19"/>
              </w:rPr>
              <w:t>listado de</w:t>
            </w:r>
            <w:r>
              <w:rPr>
                <w:spacing w:val="-1"/>
                <w:sz w:val="19"/>
              </w:rPr>
              <w:t> </w:t>
            </w:r>
            <w:r>
              <w:rPr>
                <w:sz w:val="19"/>
              </w:rPr>
              <w:t>indicadores de</w:t>
            </w:r>
            <w:r>
              <w:rPr>
                <w:spacing w:val="-3"/>
                <w:sz w:val="19"/>
              </w:rPr>
              <w:t> </w:t>
            </w:r>
            <w:r>
              <w:rPr>
                <w:sz w:val="19"/>
              </w:rPr>
              <w:t>acuerdo con la</w:t>
            </w:r>
            <w:r>
              <w:rPr>
                <w:spacing w:val="-1"/>
                <w:sz w:val="19"/>
              </w:rPr>
              <w:t> </w:t>
            </w:r>
            <w:r>
              <w:rPr>
                <w:sz w:val="19"/>
              </w:rPr>
              <w:t>Teoría</w:t>
            </w:r>
            <w:r>
              <w:rPr>
                <w:spacing w:val="-1"/>
                <w:sz w:val="19"/>
              </w:rPr>
              <w:t> </w:t>
            </w:r>
            <w:r>
              <w:rPr>
                <w:sz w:val="19"/>
              </w:rPr>
              <w:t>de</w:t>
            </w:r>
            <w:r>
              <w:rPr>
                <w:spacing w:val="-1"/>
                <w:sz w:val="19"/>
              </w:rPr>
              <w:t> </w:t>
            </w:r>
            <w:r>
              <w:rPr>
                <w:sz w:val="19"/>
              </w:rPr>
              <w:t>los Programas, lo anterior se encuentra en proceso y corresponde al Producto PAC 2.64</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before="81"/>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8880">
            <wp:simplePos x="0" y="0"/>
            <wp:positionH relativeFrom="page">
              <wp:posOffset>7333615</wp:posOffset>
            </wp:positionH>
            <wp:positionV relativeFrom="paragraph">
              <wp:posOffset>51692</wp:posOffset>
            </wp:positionV>
            <wp:extent cx="199390" cy="162178"/>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32" cstate="print"/>
                    <a:stretch>
                      <a:fillRect/>
                    </a:stretch>
                  </pic:blipFill>
                  <pic:spPr>
                    <a:xfrm>
                      <a:off x="0" y="0"/>
                      <a:ext cx="199390" cy="162178"/>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1.4.3</w:t>
      </w:r>
      <w:r>
        <w:rPr>
          <w:rFonts w:ascii="Times New Roman" w:hAnsi="Times New Roman"/>
          <w:spacing w:val="25"/>
          <w:sz w:val="19"/>
        </w:rPr>
        <w:t> </w:t>
      </w:r>
      <w:r>
        <w:rPr>
          <w:rFonts w:ascii="Times New Roman" w:hAnsi="Times New Roman"/>
          <w:sz w:val="19"/>
        </w:rPr>
        <w:t>Planes</w:t>
      </w:r>
      <w:r>
        <w:rPr>
          <w:rFonts w:ascii="Times New Roman" w:hAnsi="Times New Roman"/>
          <w:spacing w:val="24"/>
          <w:sz w:val="19"/>
        </w:rPr>
        <w:t> </w:t>
      </w:r>
      <w:r>
        <w:rPr>
          <w:rFonts w:ascii="Times New Roman" w:hAnsi="Times New Roman"/>
          <w:sz w:val="19"/>
        </w:rPr>
        <w:t>y</w:t>
      </w:r>
      <w:r>
        <w:rPr>
          <w:rFonts w:ascii="Times New Roman" w:hAnsi="Times New Roman"/>
          <w:spacing w:val="25"/>
          <w:sz w:val="19"/>
        </w:rPr>
        <w:t> </w:t>
      </w:r>
      <w:r>
        <w:rPr>
          <w:rFonts w:ascii="Times New Roman" w:hAnsi="Times New Roman"/>
          <w:sz w:val="19"/>
        </w:rPr>
        <w:t>presupuestos</w:t>
      </w:r>
      <w:r>
        <w:rPr>
          <w:rFonts w:ascii="Times New Roman" w:hAnsi="Times New Roman"/>
          <w:spacing w:val="24"/>
          <w:sz w:val="19"/>
        </w:rPr>
        <w:t> </w:t>
      </w:r>
      <w:r>
        <w:rPr>
          <w:rFonts w:ascii="Times New Roman" w:hAnsi="Times New Roman"/>
          <w:sz w:val="19"/>
        </w:rPr>
        <w:t>de</w:t>
      </w:r>
      <w:r>
        <w:rPr>
          <w:rFonts w:ascii="Times New Roman" w:hAnsi="Times New Roman"/>
          <w:spacing w:val="21"/>
          <w:sz w:val="19"/>
        </w:rPr>
        <w:t> </w:t>
      </w:r>
      <w:r>
        <w:rPr>
          <w:rFonts w:ascii="Times New Roman" w:hAnsi="Times New Roman"/>
          <w:sz w:val="19"/>
        </w:rPr>
        <w:t>inversión</w:t>
      </w:r>
      <w:r>
        <w:rPr>
          <w:rFonts w:ascii="Times New Roman" w:hAnsi="Times New Roman"/>
          <w:spacing w:val="25"/>
          <w:sz w:val="19"/>
        </w:rPr>
        <w:t> </w:t>
      </w:r>
      <w:r>
        <w:rPr>
          <w:rFonts w:ascii="Times New Roman" w:hAnsi="Times New Roman"/>
          <w:sz w:val="19"/>
        </w:rPr>
        <w:t>social</w:t>
      </w:r>
      <w:r>
        <w:rPr>
          <w:rFonts w:ascii="Times New Roman" w:hAnsi="Times New Roman"/>
          <w:spacing w:val="23"/>
          <w:sz w:val="19"/>
        </w:rPr>
        <w:t> </w:t>
      </w:r>
      <w:r>
        <w:rPr>
          <w:rFonts w:ascii="Times New Roman" w:hAnsi="Times New Roman"/>
          <w:sz w:val="19"/>
        </w:rPr>
        <w:t>del</w:t>
      </w:r>
      <w:r>
        <w:rPr>
          <w:rFonts w:ascii="Times New Roman" w:hAnsi="Times New Roman"/>
          <w:spacing w:val="24"/>
          <w:sz w:val="19"/>
        </w:rPr>
        <w:t> </w:t>
      </w:r>
      <w:r>
        <w:rPr>
          <w:rFonts w:ascii="Times New Roman" w:hAnsi="Times New Roman"/>
          <w:sz w:val="19"/>
        </w:rPr>
        <w:t>IMAS</w:t>
      </w:r>
      <w:r>
        <w:rPr>
          <w:rFonts w:ascii="Times New Roman" w:hAnsi="Times New Roman"/>
          <w:spacing w:val="24"/>
          <w:sz w:val="19"/>
        </w:rPr>
        <w:t> </w:t>
      </w:r>
      <w:r>
        <w:rPr>
          <w:rFonts w:ascii="Times New Roman" w:hAnsi="Times New Roman"/>
          <w:sz w:val="19"/>
        </w:rPr>
        <w:t>formulados</w:t>
      </w:r>
      <w:r>
        <w:rPr>
          <w:rFonts w:ascii="Times New Roman" w:hAnsi="Times New Roman"/>
          <w:spacing w:val="24"/>
          <w:sz w:val="19"/>
        </w:rPr>
        <w:t> </w:t>
      </w:r>
      <w:r>
        <w:rPr>
          <w:rFonts w:ascii="Times New Roman" w:hAnsi="Times New Roman"/>
          <w:sz w:val="19"/>
        </w:rPr>
        <w:t>con</w:t>
      </w:r>
      <w:r>
        <w:rPr>
          <w:rFonts w:ascii="Times New Roman" w:hAnsi="Times New Roman"/>
          <w:spacing w:val="22"/>
          <w:sz w:val="19"/>
        </w:rPr>
        <w:t> </w:t>
      </w:r>
      <w:r>
        <w:rPr>
          <w:rFonts w:ascii="Times New Roman" w:hAnsi="Times New Roman"/>
          <w:sz w:val="19"/>
        </w:rPr>
        <w:t>base</w:t>
      </w:r>
      <w:r>
        <w:rPr>
          <w:rFonts w:ascii="Times New Roman" w:hAnsi="Times New Roman"/>
          <w:spacing w:val="24"/>
          <w:sz w:val="19"/>
        </w:rPr>
        <w:t> </w:t>
      </w:r>
      <w:r>
        <w:rPr>
          <w:rFonts w:ascii="Times New Roman" w:hAnsi="Times New Roman"/>
          <w:sz w:val="19"/>
        </w:rPr>
        <w:t>en</w:t>
      </w:r>
      <w:r>
        <w:rPr>
          <w:rFonts w:ascii="Times New Roman" w:hAnsi="Times New Roman"/>
          <w:spacing w:val="24"/>
          <w:sz w:val="19"/>
        </w:rPr>
        <w:t> </w:t>
      </w:r>
      <w:r>
        <w:rPr>
          <w:rFonts w:ascii="Times New Roman" w:hAnsi="Times New Roman"/>
          <w:sz w:val="19"/>
        </w:rPr>
        <w:t>datos</w:t>
      </w:r>
      <w:r>
        <w:rPr>
          <w:rFonts w:ascii="Times New Roman" w:hAnsi="Times New Roman"/>
          <w:spacing w:val="22"/>
          <w:sz w:val="19"/>
        </w:rPr>
        <w:t> </w:t>
      </w:r>
      <w:r>
        <w:rPr>
          <w:rFonts w:ascii="Times New Roman" w:hAnsi="Times New Roman"/>
          <w:sz w:val="19"/>
        </w:rPr>
        <w:t>del </w:t>
      </w:r>
      <w:r>
        <w:rPr>
          <w:rFonts w:ascii="Times New Roman" w:hAnsi="Times New Roman"/>
          <w:spacing w:val="-2"/>
          <w:sz w:val="19"/>
        </w:rPr>
        <w:t>SINIRUBE.</w:t>
      </w:r>
    </w:p>
    <w:p>
      <w:pPr>
        <w:spacing w:before="82"/>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5" w:space="237"/>
            <w:col w:w="1861"/>
          </w:cols>
        </w:sectPr>
      </w:pPr>
    </w:p>
    <w:p>
      <w:pPr>
        <w:pStyle w:val="BodyText"/>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222" w:hRule="atLeast"/>
        </w:trPr>
        <w:tc>
          <w:tcPr>
            <w:tcW w:w="1709" w:type="dxa"/>
            <w:tcBorders>
              <w:top w:val="single" w:sz="12" w:space="0" w:color="000000"/>
              <w:bottom w:val="nil"/>
            </w:tcBorders>
          </w:tcPr>
          <w:p>
            <w:pPr>
              <w:pStyle w:val="TableParagraph"/>
              <w:spacing w:line="202" w:lineRule="exact"/>
              <w:ind w:left="54"/>
              <w:rPr>
                <w:sz w:val="19"/>
              </w:rPr>
            </w:pPr>
            <w:r>
              <w:rPr>
                <w:spacing w:val="-4"/>
                <w:sz w:val="19"/>
              </w:rPr>
              <w:t>2024</w:t>
            </w:r>
          </w:p>
        </w:tc>
        <w:tc>
          <w:tcPr>
            <w:tcW w:w="4030" w:type="dxa"/>
            <w:tcBorders>
              <w:top w:val="single" w:sz="12" w:space="0" w:color="000000"/>
              <w:bottom w:val="nil"/>
            </w:tcBorders>
          </w:tcPr>
          <w:p>
            <w:pPr>
              <w:pStyle w:val="TableParagraph"/>
              <w:spacing w:line="202" w:lineRule="exact"/>
              <w:ind w:left="42"/>
              <w:rPr>
                <w:sz w:val="19"/>
              </w:rPr>
            </w:pPr>
            <w:r>
              <w:rPr>
                <w:sz w:val="19"/>
              </w:rPr>
              <w:t>PAC</w:t>
            </w:r>
            <w:r>
              <w:rPr>
                <w:spacing w:val="25"/>
                <w:sz w:val="19"/>
              </w:rPr>
              <w:t> </w:t>
            </w:r>
            <w:r>
              <w:rPr>
                <w:sz w:val="19"/>
              </w:rPr>
              <w:t>2.4.15.1:</w:t>
            </w:r>
            <w:r>
              <w:rPr>
                <w:spacing w:val="26"/>
                <w:sz w:val="19"/>
              </w:rPr>
              <w:t> </w:t>
            </w:r>
            <w:r>
              <w:rPr>
                <w:sz w:val="19"/>
              </w:rPr>
              <w:t>Ajuste</w:t>
            </w:r>
            <w:r>
              <w:rPr>
                <w:spacing w:val="26"/>
                <w:sz w:val="19"/>
              </w:rPr>
              <w:t> </w:t>
            </w:r>
            <w:r>
              <w:rPr>
                <w:sz w:val="19"/>
              </w:rPr>
              <w:t>conjuntamente</w:t>
            </w:r>
            <w:r>
              <w:rPr>
                <w:spacing w:val="25"/>
                <w:sz w:val="19"/>
              </w:rPr>
              <w:t> </w:t>
            </w:r>
            <w:r>
              <w:rPr>
                <w:sz w:val="19"/>
              </w:rPr>
              <w:t>con</w:t>
            </w:r>
            <w:r>
              <w:rPr>
                <w:spacing w:val="27"/>
                <w:sz w:val="19"/>
              </w:rPr>
              <w:t> </w:t>
            </w:r>
            <w:r>
              <w:rPr>
                <w:sz w:val="19"/>
              </w:rPr>
              <w:t>la</w:t>
            </w:r>
            <w:r>
              <w:rPr>
                <w:spacing w:val="26"/>
                <w:sz w:val="19"/>
              </w:rPr>
              <w:t> </w:t>
            </w:r>
            <w:r>
              <w:rPr>
                <w:spacing w:val="-5"/>
                <w:sz w:val="19"/>
              </w:rPr>
              <w:t>DDS</w:t>
            </w:r>
          </w:p>
        </w:tc>
        <w:tc>
          <w:tcPr>
            <w:tcW w:w="4726" w:type="dxa"/>
            <w:tcBorders>
              <w:top w:val="single" w:sz="12" w:space="0" w:color="000000"/>
              <w:bottom w:val="nil"/>
            </w:tcBorders>
          </w:tcPr>
          <w:p>
            <w:pPr>
              <w:pStyle w:val="TableParagraph"/>
              <w:spacing w:line="202" w:lineRule="exact"/>
              <w:ind w:left="45"/>
              <w:rPr>
                <w:sz w:val="19"/>
              </w:rPr>
            </w:pPr>
            <w:r>
              <w:rPr>
                <w:sz w:val="19"/>
              </w:rPr>
              <w:t>Este</w:t>
            </w:r>
            <w:r>
              <w:rPr>
                <w:spacing w:val="41"/>
                <w:sz w:val="19"/>
              </w:rPr>
              <w:t>  </w:t>
            </w:r>
            <w:r>
              <w:rPr>
                <w:sz w:val="19"/>
              </w:rPr>
              <w:t>procedimiento</w:t>
            </w:r>
            <w:r>
              <w:rPr>
                <w:spacing w:val="41"/>
                <w:sz w:val="19"/>
              </w:rPr>
              <w:t>  </w:t>
            </w:r>
            <w:r>
              <w:rPr>
                <w:sz w:val="19"/>
              </w:rPr>
              <w:t>no</w:t>
            </w:r>
            <w:r>
              <w:rPr>
                <w:spacing w:val="42"/>
                <w:sz w:val="19"/>
              </w:rPr>
              <w:t>  </w:t>
            </w:r>
            <w:r>
              <w:rPr>
                <w:sz w:val="19"/>
              </w:rPr>
              <w:t>fue</w:t>
            </w:r>
            <w:r>
              <w:rPr>
                <w:spacing w:val="40"/>
                <w:sz w:val="19"/>
              </w:rPr>
              <w:t>  </w:t>
            </w:r>
            <w:r>
              <w:rPr>
                <w:sz w:val="19"/>
              </w:rPr>
              <w:t>ajustado,</w:t>
            </w:r>
            <w:r>
              <w:rPr>
                <w:spacing w:val="42"/>
                <w:sz w:val="19"/>
              </w:rPr>
              <w:t>  </w:t>
            </w:r>
            <w:r>
              <w:rPr>
                <w:sz w:val="19"/>
              </w:rPr>
              <w:t>es</w:t>
            </w:r>
            <w:r>
              <w:rPr>
                <w:spacing w:val="41"/>
                <w:sz w:val="19"/>
              </w:rPr>
              <w:t>  </w:t>
            </w:r>
            <w:r>
              <w:rPr>
                <w:spacing w:val="-2"/>
                <w:sz w:val="19"/>
              </w:rPr>
              <w:t>importante</w:t>
            </w:r>
          </w:p>
        </w:tc>
      </w:tr>
      <w:tr>
        <w:trPr>
          <w:trHeight w:val="218"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spacing w:line="198" w:lineRule="exact"/>
              <w:ind w:left="42"/>
              <w:rPr>
                <w:sz w:val="19"/>
              </w:rPr>
            </w:pPr>
            <w:r>
              <w:rPr>
                <w:sz w:val="19"/>
              </w:rPr>
              <w:t>del procedimiento</w:t>
            </w:r>
            <w:r>
              <w:rPr>
                <w:spacing w:val="-1"/>
                <w:sz w:val="19"/>
              </w:rPr>
              <w:t> </w:t>
            </w:r>
            <w:r>
              <w:rPr>
                <w:sz w:val="19"/>
              </w:rPr>
              <w:t>de</w:t>
            </w:r>
            <w:r>
              <w:rPr>
                <w:spacing w:val="-2"/>
                <w:sz w:val="19"/>
              </w:rPr>
              <w:t> </w:t>
            </w:r>
            <w:r>
              <w:rPr>
                <w:sz w:val="19"/>
              </w:rPr>
              <w:t>distribución</w:t>
            </w:r>
            <w:r>
              <w:rPr>
                <w:spacing w:val="-2"/>
                <w:sz w:val="19"/>
              </w:rPr>
              <w:t> </w:t>
            </w:r>
            <w:r>
              <w:rPr>
                <w:sz w:val="19"/>
              </w:rPr>
              <w:t>de recursos,</w:t>
            </w:r>
            <w:r>
              <w:rPr>
                <w:spacing w:val="-1"/>
                <w:sz w:val="19"/>
              </w:rPr>
              <w:t> </w:t>
            </w:r>
            <w:r>
              <w:rPr>
                <w:spacing w:val="-4"/>
                <w:sz w:val="19"/>
              </w:rPr>
              <w:t>para</w:t>
            </w:r>
          </w:p>
        </w:tc>
        <w:tc>
          <w:tcPr>
            <w:tcW w:w="4726" w:type="dxa"/>
            <w:tcBorders>
              <w:top w:val="nil"/>
              <w:bottom w:val="nil"/>
            </w:tcBorders>
          </w:tcPr>
          <w:p>
            <w:pPr>
              <w:pStyle w:val="TableParagraph"/>
              <w:spacing w:line="198" w:lineRule="exact"/>
              <w:ind w:left="45"/>
              <w:rPr>
                <w:sz w:val="19"/>
              </w:rPr>
            </w:pPr>
            <w:r>
              <w:rPr>
                <w:sz w:val="19"/>
              </w:rPr>
              <w:t>considerar</w:t>
            </w:r>
            <w:r>
              <w:rPr>
                <w:spacing w:val="2"/>
                <w:sz w:val="19"/>
              </w:rPr>
              <w:t> </w:t>
            </w:r>
            <w:r>
              <w:rPr>
                <w:sz w:val="19"/>
              </w:rPr>
              <w:t>que</w:t>
            </w:r>
            <w:r>
              <w:rPr>
                <w:spacing w:val="1"/>
                <w:sz w:val="19"/>
              </w:rPr>
              <w:t> </w:t>
            </w:r>
            <w:r>
              <w:rPr>
                <w:sz w:val="19"/>
              </w:rPr>
              <w:t>dicho</w:t>
            </w:r>
            <w:r>
              <w:rPr>
                <w:spacing w:val="4"/>
                <w:sz w:val="19"/>
              </w:rPr>
              <w:t> </w:t>
            </w:r>
            <w:r>
              <w:rPr>
                <w:sz w:val="19"/>
              </w:rPr>
              <w:t>procedimiento</w:t>
            </w:r>
            <w:r>
              <w:rPr>
                <w:spacing w:val="5"/>
                <w:sz w:val="19"/>
              </w:rPr>
              <w:t> </w:t>
            </w:r>
            <w:r>
              <w:rPr>
                <w:sz w:val="19"/>
              </w:rPr>
              <w:t>pertenece</w:t>
            </w:r>
            <w:r>
              <w:rPr>
                <w:spacing w:val="3"/>
                <w:sz w:val="19"/>
              </w:rPr>
              <w:t> </w:t>
            </w:r>
            <w:r>
              <w:rPr>
                <w:sz w:val="19"/>
              </w:rPr>
              <w:t>a</w:t>
            </w:r>
            <w:r>
              <w:rPr>
                <w:spacing w:val="2"/>
                <w:sz w:val="19"/>
              </w:rPr>
              <w:t> </w:t>
            </w:r>
            <w:r>
              <w:rPr>
                <w:sz w:val="19"/>
              </w:rPr>
              <w:t>la</w:t>
            </w:r>
            <w:r>
              <w:rPr>
                <w:spacing w:val="2"/>
                <w:sz w:val="19"/>
              </w:rPr>
              <w:t> </w:t>
            </w:r>
            <w:r>
              <w:rPr>
                <w:sz w:val="19"/>
              </w:rPr>
              <w:t>DDS</w:t>
            </w:r>
            <w:r>
              <w:rPr>
                <w:spacing w:val="2"/>
                <w:sz w:val="19"/>
              </w:rPr>
              <w:t> </w:t>
            </w:r>
            <w:r>
              <w:rPr>
                <w:spacing w:val="-5"/>
                <w:sz w:val="19"/>
              </w:rPr>
              <w:t>por</w:t>
            </w:r>
          </w:p>
        </w:tc>
      </w:tr>
      <w:tr>
        <w:trPr>
          <w:trHeight w:val="219"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spacing w:line="200" w:lineRule="exact"/>
              <w:ind w:left="42"/>
              <w:rPr>
                <w:sz w:val="19"/>
              </w:rPr>
            </w:pPr>
            <w:r>
              <w:rPr>
                <w:sz w:val="19"/>
              </w:rPr>
              <w:t>incorporar</w:t>
            </w:r>
            <w:r>
              <w:rPr>
                <w:spacing w:val="60"/>
                <w:sz w:val="19"/>
              </w:rPr>
              <w:t> </w:t>
            </w:r>
            <w:r>
              <w:rPr>
                <w:sz w:val="19"/>
              </w:rPr>
              <w:t>lo</w:t>
            </w:r>
            <w:r>
              <w:rPr>
                <w:spacing w:val="62"/>
                <w:sz w:val="19"/>
              </w:rPr>
              <w:t> </w:t>
            </w:r>
            <w:r>
              <w:rPr>
                <w:sz w:val="19"/>
              </w:rPr>
              <w:t>concerniente</w:t>
            </w:r>
            <w:r>
              <w:rPr>
                <w:spacing w:val="61"/>
                <w:sz w:val="19"/>
              </w:rPr>
              <w:t> </w:t>
            </w:r>
            <w:r>
              <w:rPr>
                <w:sz w:val="19"/>
              </w:rPr>
              <w:t>al</w:t>
            </w:r>
            <w:r>
              <w:rPr>
                <w:spacing w:val="59"/>
                <w:sz w:val="19"/>
              </w:rPr>
              <w:t> </w:t>
            </w:r>
            <w:r>
              <w:rPr>
                <w:sz w:val="19"/>
              </w:rPr>
              <w:t>SINIRUBE</w:t>
            </w:r>
            <w:r>
              <w:rPr>
                <w:spacing w:val="60"/>
                <w:sz w:val="19"/>
              </w:rPr>
              <w:t> </w:t>
            </w:r>
            <w:r>
              <w:rPr>
                <w:spacing w:val="-4"/>
                <w:sz w:val="19"/>
              </w:rPr>
              <w:t>como</w:t>
            </w:r>
          </w:p>
        </w:tc>
        <w:tc>
          <w:tcPr>
            <w:tcW w:w="4726" w:type="dxa"/>
            <w:tcBorders>
              <w:top w:val="nil"/>
              <w:bottom w:val="nil"/>
            </w:tcBorders>
          </w:tcPr>
          <w:p>
            <w:pPr>
              <w:pStyle w:val="TableParagraph"/>
              <w:spacing w:line="200" w:lineRule="exact"/>
              <w:ind w:left="45"/>
              <w:rPr>
                <w:sz w:val="19"/>
              </w:rPr>
            </w:pPr>
            <w:r>
              <w:rPr>
                <w:sz w:val="19"/>
              </w:rPr>
              <w:t>lo</w:t>
            </w:r>
            <w:r>
              <w:rPr>
                <w:spacing w:val="63"/>
                <w:sz w:val="19"/>
              </w:rPr>
              <w:t> </w:t>
            </w:r>
            <w:r>
              <w:rPr>
                <w:sz w:val="19"/>
              </w:rPr>
              <w:t>que</w:t>
            </w:r>
            <w:r>
              <w:rPr>
                <w:spacing w:val="62"/>
                <w:sz w:val="19"/>
              </w:rPr>
              <w:t> </w:t>
            </w:r>
            <w:r>
              <w:rPr>
                <w:sz w:val="19"/>
              </w:rPr>
              <w:t>Planificación</w:t>
            </w:r>
            <w:r>
              <w:rPr>
                <w:spacing w:val="63"/>
                <w:sz w:val="19"/>
              </w:rPr>
              <w:t> </w:t>
            </w:r>
            <w:r>
              <w:rPr>
                <w:sz w:val="19"/>
              </w:rPr>
              <w:t>no</w:t>
            </w:r>
            <w:r>
              <w:rPr>
                <w:spacing w:val="64"/>
                <w:sz w:val="19"/>
              </w:rPr>
              <w:t> </w:t>
            </w:r>
            <w:r>
              <w:rPr>
                <w:sz w:val="19"/>
              </w:rPr>
              <w:t>lo</w:t>
            </w:r>
            <w:r>
              <w:rPr>
                <w:spacing w:val="63"/>
                <w:sz w:val="19"/>
              </w:rPr>
              <w:t> </w:t>
            </w:r>
            <w:r>
              <w:rPr>
                <w:sz w:val="19"/>
              </w:rPr>
              <w:t>puede</w:t>
            </w:r>
            <w:r>
              <w:rPr>
                <w:spacing w:val="62"/>
                <w:sz w:val="19"/>
              </w:rPr>
              <w:t> </w:t>
            </w:r>
            <w:r>
              <w:rPr>
                <w:sz w:val="19"/>
              </w:rPr>
              <w:t>ajustar,</w:t>
            </w:r>
            <w:r>
              <w:rPr>
                <w:spacing w:val="62"/>
                <w:sz w:val="19"/>
              </w:rPr>
              <w:t> </w:t>
            </w:r>
            <w:r>
              <w:rPr>
                <w:sz w:val="19"/>
              </w:rPr>
              <w:t>por</w:t>
            </w:r>
            <w:r>
              <w:rPr>
                <w:spacing w:val="62"/>
                <w:sz w:val="19"/>
              </w:rPr>
              <w:t> </w:t>
            </w:r>
            <w:r>
              <w:rPr>
                <w:sz w:val="19"/>
              </w:rPr>
              <w:t>parte</w:t>
            </w:r>
            <w:r>
              <w:rPr>
                <w:spacing w:val="61"/>
                <w:sz w:val="19"/>
              </w:rPr>
              <w:t> </w:t>
            </w:r>
            <w:r>
              <w:rPr>
                <w:spacing w:val="-5"/>
                <w:sz w:val="19"/>
              </w:rPr>
              <w:t>de</w:t>
            </w:r>
          </w:p>
        </w:tc>
      </w:tr>
      <w:tr>
        <w:trPr>
          <w:trHeight w:val="219"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spacing w:line="200" w:lineRule="exact"/>
              <w:ind w:left="42"/>
              <w:rPr>
                <w:sz w:val="19"/>
              </w:rPr>
            </w:pPr>
            <w:r>
              <w:rPr>
                <w:sz w:val="19"/>
              </w:rPr>
              <w:t>elemento</w:t>
            </w:r>
            <w:r>
              <w:rPr>
                <w:spacing w:val="-4"/>
                <w:sz w:val="19"/>
              </w:rPr>
              <w:t> </w:t>
            </w:r>
            <w:r>
              <w:rPr>
                <w:sz w:val="19"/>
              </w:rPr>
              <w:t>base</w:t>
            </w:r>
            <w:r>
              <w:rPr>
                <w:spacing w:val="-5"/>
                <w:sz w:val="19"/>
              </w:rPr>
              <w:t> </w:t>
            </w:r>
            <w:r>
              <w:rPr>
                <w:sz w:val="19"/>
              </w:rPr>
              <w:t>para</w:t>
            </w:r>
            <w:r>
              <w:rPr>
                <w:spacing w:val="-5"/>
                <w:sz w:val="19"/>
              </w:rPr>
              <w:t> </w:t>
            </w:r>
            <w:r>
              <w:rPr>
                <w:sz w:val="19"/>
              </w:rPr>
              <w:t>la</w:t>
            </w:r>
            <w:r>
              <w:rPr>
                <w:spacing w:val="-4"/>
                <w:sz w:val="19"/>
              </w:rPr>
              <w:t> </w:t>
            </w:r>
            <w:r>
              <w:rPr>
                <w:spacing w:val="-2"/>
                <w:sz w:val="19"/>
              </w:rPr>
              <w:t>distribución</w:t>
            </w:r>
          </w:p>
        </w:tc>
        <w:tc>
          <w:tcPr>
            <w:tcW w:w="4726" w:type="dxa"/>
            <w:tcBorders>
              <w:top w:val="nil"/>
              <w:bottom w:val="nil"/>
            </w:tcBorders>
          </w:tcPr>
          <w:p>
            <w:pPr>
              <w:pStyle w:val="TableParagraph"/>
              <w:spacing w:line="200" w:lineRule="exact"/>
              <w:ind w:left="45"/>
              <w:rPr>
                <w:sz w:val="19"/>
              </w:rPr>
            </w:pPr>
            <w:r>
              <w:rPr>
                <w:sz w:val="19"/>
              </w:rPr>
              <w:t>Planificación</w:t>
            </w:r>
            <w:r>
              <w:rPr>
                <w:spacing w:val="15"/>
                <w:sz w:val="19"/>
              </w:rPr>
              <w:t> </w:t>
            </w:r>
            <w:r>
              <w:rPr>
                <w:sz w:val="19"/>
              </w:rPr>
              <w:t>se</w:t>
            </w:r>
            <w:r>
              <w:rPr>
                <w:spacing w:val="15"/>
                <w:sz w:val="19"/>
              </w:rPr>
              <w:t> </w:t>
            </w:r>
            <w:r>
              <w:rPr>
                <w:sz w:val="19"/>
              </w:rPr>
              <w:t>solicitó</w:t>
            </w:r>
            <w:r>
              <w:rPr>
                <w:spacing w:val="16"/>
                <w:sz w:val="19"/>
              </w:rPr>
              <w:t> </w:t>
            </w:r>
            <w:r>
              <w:rPr>
                <w:sz w:val="19"/>
              </w:rPr>
              <w:t>a</w:t>
            </w:r>
            <w:r>
              <w:rPr>
                <w:spacing w:val="14"/>
                <w:sz w:val="19"/>
              </w:rPr>
              <w:t> </w:t>
            </w:r>
            <w:r>
              <w:rPr>
                <w:sz w:val="19"/>
              </w:rPr>
              <w:t>la</w:t>
            </w:r>
            <w:r>
              <w:rPr>
                <w:spacing w:val="14"/>
                <w:sz w:val="19"/>
              </w:rPr>
              <w:t> </w:t>
            </w:r>
            <w:r>
              <w:rPr>
                <w:sz w:val="19"/>
              </w:rPr>
              <w:t>DDS</w:t>
            </w:r>
            <w:r>
              <w:rPr>
                <w:spacing w:val="14"/>
                <w:sz w:val="19"/>
              </w:rPr>
              <w:t> </w:t>
            </w:r>
            <w:r>
              <w:rPr>
                <w:sz w:val="19"/>
              </w:rPr>
              <w:t>trabajar</w:t>
            </w:r>
            <w:r>
              <w:rPr>
                <w:spacing w:val="14"/>
                <w:sz w:val="19"/>
              </w:rPr>
              <w:t> </w:t>
            </w:r>
            <w:r>
              <w:rPr>
                <w:sz w:val="19"/>
              </w:rPr>
              <w:t>en</w:t>
            </w:r>
            <w:r>
              <w:rPr>
                <w:spacing w:val="15"/>
                <w:sz w:val="19"/>
              </w:rPr>
              <w:t> </w:t>
            </w:r>
            <w:r>
              <w:rPr>
                <w:sz w:val="19"/>
              </w:rPr>
              <w:t>los</w:t>
            </w:r>
            <w:r>
              <w:rPr>
                <w:spacing w:val="14"/>
                <w:sz w:val="19"/>
              </w:rPr>
              <w:t> </w:t>
            </w:r>
            <w:r>
              <w:rPr>
                <w:sz w:val="19"/>
              </w:rPr>
              <w:t>ajustes</w:t>
            </w:r>
            <w:r>
              <w:rPr>
                <w:spacing w:val="14"/>
                <w:sz w:val="19"/>
              </w:rPr>
              <w:t> </w:t>
            </w:r>
            <w:r>
              <w:rPr>
                <w:spacing w:val="-5"/>
                <w:sz w:val="19"/>
              </w:rPr>
              <w:t>al</w:t>
            </w:r>
          </w:p>
        </w:tc>
      </w:tr>
      <w:tr>
        <w:trPr>
          <w:trHeight w:val="218"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rPr>
                <w:sz w:val="14"/>
              </w:rPr>
            </w:pPr>
          </w:p>
        </w:tc>
        <w:tc>
          <w:tcPr>
            <w:tcW w:w="4726" w:type="dxa"/>
            <w:tcBorders>
              <w:top w:val="nil"/>
              <w:bottom w:val="nil"/>
            </w:tcBorders>
          </w:tcPr>
          <w:p>
            <w:pPr>
              <w:pStyle w:val="TableParagraph"/>
              <w:spacing w:line="198" w:lineRule="exact"/>
              <w:ind w:left="45"/>
              <w:rPr>
                <w:sz w:val="19"/>
              </w:rPr>
            </w:pPr>
            <w:r>
              <w:rPr>
                <w:sz w:val="19"/>
              </w:rPr>
              <w:t>procedimiento,</w:t>
            </w:r>
            <w:r>
              <w:rPr>
                <w:spacing w:val="19"/>
                <w:sz w:val="19"/>
              </w:rPr>
              <w:t> </w:t>
            </w:r>
            <w:r>
              <w:rPr>
                <w:sz w:val="19"/>
              </w:rPr>
              <w:t>como</w:t>
            </w:r>
            <w:r>
              <w:rPr>
                <w:spacing w:val="21"/>
                <w:sz w:val="19"/>
              </w:rPr>
              <w:t> </w:t>
            </w:r>
            <w:r>
              <w:rPr>
                <w:sz w:val="19"/>
              </w:rPr>
              <w:t>respaldo</w:t>
            </w:r>
            <w:r>
              <w:rPr>
                <w:spacing w:val="18"/>
                <w:sz w:val="19"/>
              </w:rPr>
              <w:t> </w:t>
            </w:r>
            <w:r>
              <w:rPr>
                <w:sz w:val="19"/>
              </w:rPr>
              <w:t>se</w:t>
            </w:r>
            <w:r>
              <w:rPr>
                <w:spacing w:val="18"/>
                <w:sz w:val="19"/>
              </w:rPr>
              <w:t> </w:t>
            </w:r>
            <w:r>
              <w:rPr>
                <w:sz w:val="19"/>
              </w:rPr>
              <w:t>tienen</w:t>
            </w:r>
            <w:r>
              <w:rPr>
                <w:spacing w:val="18"/>
                <w:sz w:val="19"/>
              </w:rPr>
              <w:t> </w:t>
            </w:r>
            <w:r>
              <w:rPr>
                <w:sz w:val="19"/>
              </w:rPr>
              <w:t>los</w:t>
            </w:r>
            <w:r>
              <w:rPr>
                <w:spacing w:val="18"/>
                <w:sz w:val="19"/>
              </w:rPr>
              <w:t> </w:t>
            </w:r>
            <w:r>
              <w:rPr>
                <w:sz w:val="19"/>
              </w:rPr>
              <w:t>oficios</w:t>
            </w:r>
            <w:r>
              <w:rPr>
                <w:spacing w:val="18"/>
                <w:sz w:val="19"/>
              </w:rPr>
              <w:t> </w:t>
            </w:r>
            <w:r>
              <w:rPr>
                <w:spacing w:val="-4"/>
                <w:sz w:val="19"/>
              </w:rPr>
              <w:t>IMAS-</w:t>
            </w:r>
          </w:p>
        </w:tc>
      </w:tr>
      <w:tr>
        <w:trPr>
          <w:trHeight w:val="218"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rPr>
                <w:sz w:val="14"/>
              </w:rPr>
            </w:pPr>
          </w:p>
        </w:tc>
        <w:tc>
          <w:tcPr>
            <w:tcW w:w="4726" w:type="dxa"/>
            <w:tcBorders>
              <w:top w:val="nil"/>
              <w:bottom w:val="nil"/>
            </w:tcBorders>
          </w:tcPr>
          <w:p>
            <w:pPr>
              <w:pStyle w:val="TableParagraph"/>
              <w:spacing w:line="198" w:lineRule="exact"/>
              <w:ind w:left="45"/>
              <w:rPr>
                <w:sz w:val="19"/>
              </w:rPr>
            </w:pPr>
            <w:r>
              <w:rPr>
                <w:sz w:val="19"/>
              </w:rPr>
              <w:t>PE-PI-0051-2024,</w:t>
            </w:r>
            <w:r>
              <w:rPr>
                <w:spacing w:val="51"/>
                <w:sz w:val="19"/>
              </w:rPr>
              <w:t> </w:t>
            </w:r>
            <w:r>
              <w:rPr>
                <w:sz w:val="19"/>
              </w:rPr>
              <w:t>IMAS-PE-PI-0097-2024,</w:t>
            </w:r>
            <w:r>
              <w:rPr>
                <w:spacing w:val="49"/>
                <w:sz w:val="19"/>
              </w:rPr>
              <w:t> </w:t>
            </w:r>
            <w:r>
              <w:rPr>
                <w:sz w:val="19"/>
              </w:rPr>
              <w:t>IMAS-PE-</w:t>
            </w:r>
            <w:r>
              <w:rPr>
                <w:spacing w:val="-5"/>
                <w:sz w:val="19"/>
              </w:rPr>
              <w:t>PI-</w:t>
            </w:r>
          </w:p>
        </w:tc>
      </w:tr>
      <w:tr>
        <w:trPr>
          <w:trHeight w:val="218"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rPr>
                <w:sz w:val="14"/>
              </w:rPr>
            </w:pPr>
          </w:p>
        </w:tc>
        <w:tc>
          <w:tcPr>
            <w:tcW w:w="4726" w:type="dxa"/>
            <w:tcBorders>
              <w:top w:val="nil"/>
              <w:bottom w:val="nil"/>
            </w:tcBorders>
          </w:tcPr>
          <w:p>
            <w:pPr>
              <w:pStyle w:val="TableParagraph"/>
              <w:spacing w:line="198" w:lineRule="exact"/>
              <w:ind w:left="45"/>
              <w:rPr>
                <w:sz w:val="19"/>
              </w:rPr>
            </w:pPr>
            <w:r>
              <w:rPr>
                <w:sz w:val="19"/>
              </w:rPr>
              <w:t>0098-2024,</w:t>
            </w:r>
            <w:r>
              <w:rPr>
                <w:spacing w:val="63"/>
                <w:w w:val="150"/>
                <w:sz w:val="19"/>
              </w:rPr>
              <w:t> </w:t>
            </w:r>
            <w:r>
              <w:rPr>
                <w:sz w:val="19"/>
              </w:rPr>
              <w:t>IMAS-PE-PI-0099-2024,</w:t>
            </w:r>
            <w:r>
              <w:rPr>
                <w:spacing w:val="63"/>
                <w:w w:val="150"/>
                <w:sz w:val="19"/>
              </w:rPr>
              <w:t> </w:t>
            </w:r>
            <w:r>
              <w:rPr>
                <w:sz w:val="19"/>
              </w:rPr>
              <w:t>IMAS-PE-PI-</w:t>
            </w:r>
            <w:r>
              <w:rPr>
                <w:spacing w:val="-2"/>
                <w:sz w:val="19"/>
              </w:rPr>
              <w:t>0119-</w:t>
            </w:r>
          </w:p>
        </w:tc>
      </w:tr>
      <w:tr>
        <w:trPr>
          <w:trHeight w:val="218" w:hRule="atLeast"/>
        </w:trPr>
        <w:tc>
          <w:tcPr>
            <w:tcW w:w="1709" w:type="dxa"/>
            <w:tcBorders>
              <w:top w:val="nil"/>
              <w:bottom w:val="nil"/>
            </w:tcBorders>
          </w:tcPr>
          <w:p>
            <w:pPr>
              <w:pStyle w:val="TableParagraph"/>
              <w:rPr>
                <w:sz w:val="14"/>
              </w:rPr>
            </w:pPr>
          </w:p>
        </w:tc>
        <w:tc>
          <w:tcPr>
            <w:tcW w:w="4030" w:type="dxa"/>
            <w:tcBorders>
              <w:top w:val="nil"/>
              <w:bottom w:val="nil"/>
            </w:tcBorders>
          </w:tcPr>
          <w:p>
            <w:pPr>
              <w:pStyle w:val="TableParagraph"/>
              <w:rPr>
                <w:sz w:val="14"/>
              </w:rPr>
            </w:pPr>
          </w:p>
        </w:tc>
        <w:tc>
          <w:tcPr>
            <w:tcW w:w="4726" w:type="dxa"/>
            <w:tcBorders>
              <w:top w:val="nil"/>
              <w:bottom w:val="nil"/>
            </w:tcBorders>
          </w:tcPr>
          <w:p>
            <w:pPr>
              <w:pStyle w:val="TableParagraph"/>
              <w:spacing w:line="198" w:lineRule="exact"/>
              <w:ind w:left="45"/>
              <w:rPr>
                <w:sz w:val="19"/>
              </w:rPr>
            </w:pPr>
            <w:r>
              <w:rPr>
                <w:sz w:val="19"/>
              </w:rPr>
              <w:t>2024,</w:t>
            </w:r>
            <w:r>
              <w:rPr>
                <w:spacing w:val="60"/>
                <w:sz w:val="19"/>
              </w:rPr>
              <w:t> </w:t>
            </w:r>
            <w:r>
              <w:rPr>
                <w:sz w:val="19"/>
              </w:rPr>
              <w:t>no</w:t>
            </w:r>
            <w:r>
              <w:rPr>
                <w:spacing w:val="63"/>
                <w:sz w:val="19"/>
              </w:rPr>
              <w:t> </w:t>
            </w:r>
            <w:r>
              <w:rPr>
                <w:sz w:val="19"/>
              </w:rPr>
              <w:t>obstante,</w:t>
            </w:r>
            <w:r>
              <w:rPr>
                <w:spacing w:val="62"/>
                <w:sz w:val="19"/>
              </w:rPr>
              <w:t> </w:t>
            </w:r>
            <w:r>
              <w:rPr>
                <w:sz w:val="19"/>
              </w:rPr>
              <w:t>por</w:t>
            </w:r>
            <w:r>
              <w:rPr>
                <w:spacing w:val="59"/>
                <w:sz w:val="19"/>
              </w:rPr>
              <w:t> </w:t>
            </w:r>
            <w:r>
              <w:rPr>
                <w:sz w:val="19"/>
              </w:rPr>
              <w:t>parte</w:t>
            </w:r>
            <w:r>
              <w:rPr>
                <w:spacing w:val="60"/>
                <w:sz w:val="19"/>
              </w:rPr>
              <w:t> </w:t>
            </w:r>
            <w:r>
              <w:rPr>
                <w:sz w:val="19"/>
              </w:rPr>
              <w:t>de</w:t>
            </w:r>
            <w:r>
              <w:rPr>
                <w:spacing w:val="60"/>
                <w:sz w:val="19"/>
              </w:rPr>
              <w:t> </w:t>
            </w:r>
            <w:r>
              <w:rPr>
                <w:sz w:val="19"/>
              </w:rPr>
              <w:t>la</w:t>
            </w:r>
            <w:r>
              <w:rPr>
                <w:spacing w:val="60"/>
                <w:sz w:val="19"/>
              </w:rPr>
              <w:t> </w:t>
            </w:r>
            <w:r>
              <w:rPr>
                <w:sz w:val="19"/>
              </w:rPr>
              <w:t>DDS</w:t>
            </w:r>
            <w:r>
              <w:rPr>
                <w:spacing w:val="60"/>
                <w:sz w:val="19"/>
              </w:rPr>
              <w:t> </w:t>
            </w:r>
            <w:r>
              <w:rPr>
                <w:sz w:val="19"/>
              </w:rPr>
              <w:t>no</w:t>
            </w:r>
            <w:r>
              <w:rPr>
                <w:spacing w:val="61"/>
                <w:sz w:val="19"/>
              </w:rPr>
              <w:t> </w:t>
            </w:r>
            <w:r>
              <w:rPr>
                <w:sz w:val="19"/>
              </w:rPr>
              <w:t>se</w:t>
            </w:r>
            <w:r>
              <w:rPr>
                <w:spacing w:val="64"/>
                <w:sz w:val="19"/>
              </w:rPr>
              <w:t> </w:t>
            </w:r>
            <w:r>
              <w:rPr>
                <w:spacing w:val="-2"/>
                <w:sz w:val="19"/>
              </w:rPr>
              <w:t>realizó</w:t>
            </w:r>
          </w:p>
        </w:tc>
      </w:tr>
      <w:tr>
        <w:trPr>
          <w:trHeight w:val="295" w:hRule="atLeast"/>
        </w:trPr>
        <w:tc>
          <w:tcPr>
            <w:tcW w:w="1709" w:type="dxa"/>
            <w:tcBorders>
              <w:top w:val="nil"/>
            </w:tcBorders>
          </w:tcPr>
          <w:p>
            <w:pPr>
              <w:pStyle w:val="TableParagraph"/>
              <w:rPr>
                <w:sz w:val="18"/>
              </w:rPr>
            </w:pPr>
          </w:p>
        </w:tc>
        <w:tc>
          <w:tcPr>
            <w:tcW w:w="4030" w:type="dxa"/>
            <w:tcBorders>
              <w:top w:val="nil"/>
            </w:tcBorders>
          </w:tcPr>
          <w:p>
            <w:pPr>
              <w:pStyle w:val="TableParagraph"/>
              <w:rPr>
                <w:sz w:val="18"/>
              </w:rPr>
            </w:pPr>
          </w:p>
        </w:tc>
        <w:tc>
          <w:tcPr>
            <w:tcW w:w="4726" w:type="dxa"/>
            <w:tcBorders>
              <w:top w:val="nil"/>
            </w:tcBorders>
          </w:tcPr>
          <w:p>
            <w:pPr>
              <w:pStyle w:val="TableParagraph"/>
              <w:spacing w:line="214" w:lineRule="exact"/>
              <w:ind w:left="45"/>
              <w:rPr>
                <w:sz w:val="19"/>
              </w:rPr>
            </w:pPr>
            <w:r>
              <w:rPr>
                <w:sz w:val="19"/>
              </w:rPr>
              <w:t>ninguna</w:t>
            </w:r>
            <w:r>
              <w:rPr>
                <w:spacing w:val="-7"/>
                <w:sz w:val="19"/>
              </w:rPr>
              <w:t> </w:t>
            </w:r>
            <w:r>
              <w:rPr>
                <w:sz w:val="19"/>
              </w:rPr>
              <w:t>gestión</w:t>
            </w:r>
            <w:r>
              <w:rPr>
                <w:spacing w:val="-6"/>
                <w:sz w:val="19"/>
              </w:rPr>
              <w:t> </w:t>
            </w:r>
            <w:r>
              <w:rPr>
                <w:sz w:val="19"/>
              </w:rPr>
              <w:t>para</w:t>
            </w:r>
            <w:r>
              <w:rPr>
                <w:spacing w:val="-6"/>
                <w:sz w:val="19"/>
              </w:rPr>
              <w:t> </w:t>
            </w:r>
            <w:r>
              <w:rPr>
                <w:sz w:val="19"/>
              </w:rPr>
              <w:t>justes</w:t>
            </w:r>
            <w:r>
              <w:rPr>
                <w:spacing w:val="-5"/>
                <w:sz w:val="19"/>
              </w:rPr>
              <w:t> </w:t>
            </w:r>
            <w:r>
              <w:rPr>
                <w:sz w:val="19"/>
              </w:rPr>
              <w:t>al</w:t>
            </w:r>
            <w:r>
              <w:rPr>
                <w:spacing w:val="-7"/>
                <w:sz w:val="19"/>
              </w:rPr>
              <w:t> </w:t>
            </w:r>
            <w:r>
              <w:rPr>
                <w:spacing w:val="-2"/>
                <w:sz w:val="19"/>
              </w:rPr>
              <w:t>procedimiento</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line="242" w:lineRule="auto" w:before="82"/>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9392">
            <wp:simplePos x="0" y="0"/>
            <wp:positionH relativeFrom="page">
              <wp:posOffset>7333615</wp:posOffset>
            </wp:positionH>
            <wp:positionV relativeFrom="paragraph">
              <wp:posOffset>51692</wp:posOffset>
            </wp:positionV>
            <wp:extent cx="199390" cy="163829"/>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33" cstate="print"/>
                    <a:stretch>
                      <a:fillRect/>
                    </a:stretch>
                  </pic:blipFill>
                  <pic:spPr>
                    <a:xfrm>
                      <a:off x="0" y="0"/>
                      <a:ext cx="199390" cy="163829"/>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1.5.1 Normativa de control interno y del sistema de planificación alineada sobre la base riesgos estratégicos y operativos.</w:t>
      </w:r>
    </w:p>
    <w:p>
      <w:pPr>
        <w:spacing w:before="83"/>
        <w:ind w:left="208" w:right="0" w:firstLine="0"/>
        <w:jc w:val="left"/>
        <w:rPr>
          <w:rFonts w:ascii="Times New Roman"/>
          <w:sz w:val="19"/>
        </w:rPr>
      </w:pPr>
      <w:r>
        <w:rPr/>
        <w:br w:type="column"/>
      </w:r>
      <w:r>
        <w:rPr>
          <w:rFonts w:ascii="Times New Roman"/>
          <w:sz w:val="19"/>
        </w:rPr>
        <w:t>33,33</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3" w:space="144"/>
            <w:col w:w="1956"/>
          </w:cols>
        </w:sectPr>
      </w:pPr>
    </w:p>
    <w:p>
      <w:pPr>
        <w:pStyle w:val="BodyText"/>
        <w:spacing w:before="9"/>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5" w:hRule="atLeast"/>
        </w:trPr>
        <w:tc>
          <w:tcPr>
            <w:tcW w:w="1709" w:type="dxa"/>
            <w:tcBorders>
              <w:top w:val="single" w:sz="12" w:space="0" w:color="000000"/>
              <w:bottom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ind w:left="42" w:right="43"/>
              <w:jc w:val="both"/>
              <w:rPr>
                <w:sz w:val="19"/>
              </w:rPr>
            </w:pPr>
            <w:r>
              <w:rPr>
                <w:sz w:val="19"/>
              </w:rPr>
              <w:t>PAC 2.4.16.1: Identificación de los ajustes normativos necesarios de realizar para la mayor vinculación del Control Interno y el sistema de </w:t>
            </w:r>
            <w:r>
              <w:rPr>
                <w:spacing w:val="-2"/>
                <w:sz w:val="19"/>
              </w:rPr>
              <w:t>planificación.</w:t>
            </w:r>
          </w:p>
        </w:tc>
        <w:tc>
          <w:tcPr>
            <w:tcW w:w="4726" w:type="dxa"/>
            <w:tcBorders>
              <w:top w:val="single" w:sz="12" w:space="0" w:color="000000"/>
              <w:bottom w:val="single" w:sz="12" w:space="0" w:color="000000"/>
            </w:tcBorders>
          </w:tcPr>
          <w:p>
            <w:pPr>
              <w:pStyle w:val="TableParagraph"/>
              <w:spacing w:before="2"/>
              <w:ind w:left="45"/>
              <w:rPr>
                <w:sz w:val="19"/>
              </w:rPr>
            </w:pPr>
            <w:r>
              <w:rPr>
                <w:sz w:val="19"/>
              </w:rPr>
              <w:t>No</w:t>
            </w:r>
            <w:r>
              <w:rPr>
                <w:spacing w:val="-4"/>
                <w:sz w:val="19"/>
              </w:rPr>
              <w:t> </w:t>
            </w:r>
            <w:r>
              <w:rPr>
                <w:sz w:val="19"/>
              </w:rPr>
              <w:t>se</w:t>
            </w:r>
            <w:r>
              <w:rPr>
                <w:spacing w:val="-6"/>
                <w:sz w:val="19"/>
              </w:rPr>
              <w:t> </w:t>
            </w:r>
            <w:r>
              <w:rPr>
                <w:sz w:val="19"/>
              </w:rPr>
              <w:t>identifican</w:t>
            </w:r>
            <w:r>
              <w:rPr>
                <w:spacing w:val="-4"/>
                <w:sz w:val="19"/>
              </w:rPr>
              <w:t> </w:t>
            </w:r>
            <w:r>
              <w:rPr>
                <w:sz w:val="19"/>
              </w:rPr>
              <w:t>limitaciones</w:t>
            </w:r>
            <w:r>
              <w:rPr>
                <w:spacing w:val="-6"/>
                <w:sz w:val="19"/>
              </w:rPr>
              <w:t> </w:t>
            </w:r>
            <w:r>
              <w:rPr>
                <w:sz w:val="19"/>
              </w:rPr>
              <w:t>en</w:t>
            </w:r>
            <w:r>
              <w:rPr>
                <w:spacing w:val="-4"/>
                <w:sz w:val="19"/>
              </w:rPr>
              <w:t> </w:t>
            </w:r>
            <w:r>
              <w:rPr>
                <w:sz w:val="19"/>
              </w:rPr>
              <w:t>esta</w:t>
            </w:r>
            <w:r>
              <w:rPr>
                <w:spacing w:val="-5"/>
                <w:sz w:val="19"/>
              </w:rPr>
              <w:t> </w:t>
            </w:r>
            <w:r>
              <w:rPr>
                <w:spacing w:val="-2"/>
                <w:sz w:val="19"/>
              </w:rPr>
              <w:t>actividad</w:t>
            </w:r>
          </w:p>
        </w:tc>
      </w:tr>
      <w:tr>
        <w:trPr>
          <w:trHeight w:val="704"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tabs>
                <w:tab w:pos="639" w:val="left" w:leader="none"/>
                <w:tab w:pos="1536" w:val="left" w:leader="none"/>
                <w:tab w:pos="2797" w:val="left" w:leader="none"/>
                <w:tab w:pos="3295" w:val="left" w:leader="none"/>
              </w:tabs>
              <w:spacing w:line="242" w:lineRule="auto"/>
              <w:ind w:left="42" w:right="44"/>
              <w:rPr>
                <w:sz w:val="19"/>
              </w:rPr>
            </w:pPr>
            <w:r>
              <w:rPr>
                <w:spacing w:val="-4"/>
                <w:sz w:val="19"/>
              </w:rPr>
              <w:t>PAC</w:t>
            </w:r>
            <w:r>
              <w:rPr>
                <w:sz w:val="19"/>
              </w:rPr>
              <w:tab/>
            </w:r>
            <w:r>
              <w:rPr>
                <w:spacing w:val="-2"/>
                <w:sz w:val="19"/>
              </w:rPr>
              <w:t>2.4.16.2:</w:t>
            </w:r>
            <w:r>
              <w:rPr>
                <w:sz w:val="19"/>
              </w:rPr>
              <w:tab/>
            </w:r>
            <w:r>
              <w:rPr>
                <w:spacing w:val="-2"/>
                <w:sz w:val="19"/>
              </w:rPr>
              <w:t>Coordinación</w:t>
            </w:r>
            <w:r>
              <w:rPr>
                <w:sz w:val="19"/>
              </w:rPr>
              <w:tab/>
            </w:r>
            <w:r>
              <w:rPr>
                <w:spacing w:val="-4"/>
                <w:sz w:val="19"/>
              </w:rPr>
              <w:t>con</w:t>
            </w:r>
            <w:r>
              <w:rPr>
                <w:sz w:val="19"/>
              </w:rPr>
              <w:tab/>
            </w:r>
            <w:r>
              <w:rPr>
                <w:spacing w:val="-2"/>
                <w:sz w:val="19"/>
              </w:rPr>
              <w:t>unidades </w:t>
            </w:r>
            <w:r>
              <w:rPr>
                <w:sz w:val="19"/>
              </w:rPr>
              <w:t>responsables de normativa para realizar ajustes.</w:t>
            </w:r>
          </w:p>
        </w:tc>
        <w:tc>
          <w:tcPr>
            <w:tcW w:w="4726" w:type="dxa"/>
            <w:tcBorders>
              <w:top w:val="single" w:sz="12" w:space="0" w:color="000000"/>
              <w:bottom w:val="single" w:sz="12" w:space="0" w:color="000000"/>
            </w:tcBorders>
          </w:tcPr>
          <w:p>
            <w:pPr>
              <w:pStyle w:val="TableParagraph"/>
              <w:spacing w:line="242" w:lineRule="auto"/>
              <w:ind w:left="45" w:right="42"/>
              <w:jc w:val="both"/>
              <w:rPr>
                <w:sz w:val="19"/>
              </w:rPr>
            </w:pPr>
            <w:r>
              <w:rPr>
                <w:sz w:val="19"/>
              </w:rPr>
              <w:t>Se va a actualizar el reglamento de PI vinculado al Valor Publico y la GpRD y una vez se cuente con este insumo se integrará al SCI.</w:t>
            </w:r>
          </w:p>
        </w:tc>
      </w:tr>
      <w:tr>
        <w:trPr>
          <w:trHeight w:val="702"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tcBorders>
          </w:tcPr>
          <w:p>
            <w:pPr>
              <w:pStyle w:val="TableParagraph"/>
              <w:ind w:left="42"/>
              <w:rPr>
                <w:sz w:val="19"/>
              </w:rPr>
            </w:pPr>
            <w:r>
              <w:rPr>
                <w:sz w:val="19"/>
              </w:rPr>
              <w:t>PAC 2.4.16.3: Actualización de normativa interna sobre Control Interno</w:t>
            </w:r>
          </w:p>
        </w:tc>
        <w:tc>
          <w:tcPr>
            <w:tcW w:w="4726" w:type="dxa"/>
            <w:tcBorders>
              <w:top w:val="single" w:sz="12" w:space="0" w:color="000000"/>
            </w:tcBorders>
          </w:tcPr>
          <w:p>
            <w:pPr>
              <w:pStyle w:val="TableParagraph"/>
              <w:ind w:left="45" w:right="42"/>
              <w:jc w:val="both"/>
              <w:rPr>
                <w:sz w:val="19"/>
              </w:rPr>
            </w:pPr>
            <w:r>
              <w:rPr>
                <w:sz w:val="19"/>
              </w:rPr>
              <w:t>Se van a actualizar el reglamento de PI vinculado al Valor Publico y la GpRD y una vez se cuente con este insumo se integrará al SCI.</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before="82"/>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39904">
            <wp:simplePos x="0" y="0"/>
            <wp:positionH relativeFrom="page">
              <wp:posOffset>7333615</wp:posOffset>
            </wp:positionH>
            <wp:positionV relativeFrom="paragraph">
              <wp:posOffset>51311</wp:posOffset>
            </wp:positionV>
            <wp:extent cx="199390" cy="162560"/>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34" cstate="print"/>
                    <a:stretch>
                      <a:fillRect/>
                    </a:stretch>
                  </pic:blipFill>
                  <pic:spPr>
                    <a:xfrm>
                      <a:off x="0" y="0"/>
                      <a:ext cx="199390" cy="162560"/>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1.6.1</w:t>
      </w:r>
      <w:r>
        <w:rPr>
          <w:rFonts w:ascii="Times New Roman" w:hAnsi="Times New Roman"/>
          <w:spacing w:val="40"/>
          <w:sz w:val="19"/>
        </w:rPr>
        <w:t> </w:t>
      </w:r>
      <w:r>
        <w:rPr>
          <w:rFonts w:ascii="Times New Roman" w:hAnsi="Times New Roman"/>
          <w:sz w:val="19"/>
        </w:rPr>
        <w:t>Estudio</w:t>
      </w:r>
      <w:r>
        <w:rPr>
          <w:rFonts w:ascii="Times New Roman" w:hAnsi="Times New Roman"/>
          <w:spacing w:val="40"/>
          <w:sz w:val="19"/>
        </w:rPr>
        <w:t> </w:t>
      </w:r>
      <w:r>
        <w:rPr>
          <w:rFonts w:ascii="Times New Roman" w:hAnsi="Times New Roman"/>
          <w:sz w:val="19"/>
        </w:rPr>
        <w:t>actuarial</w:t>
      </w:r>
      <w:r>
        <w:rPr>
          <w:rFonts w:ascii="Times New Roman" w:hAnsi="Times New Roman"/>
          <w:spacing w:val="40"/>
          <w:sz w:val="19"/>
        </w:rPr>
        <w:t> </w:t>
      </w:r>
      <w:r>
        <w:rPr>
          <w:rFonts w:ascii="Times New Roman" w:hAnsi="Times New Roman"/>
          <w:sz w:val="19"/>
        </w:rPr>
        <w:t>que</w:t>
      </w:r>
      <w:r>
        <w:rPr>
          <w:rFonts w:ascii="Times New Roman" w:hAnsi="Times New Roman"/>
          <w:spacing w:val="40"/>
          <w:sz w:val="19"/>
        </w:rPr>
        <w:t> </w:t>
      </w:r>
      <w:r>
        <w:rPr>
          <w:rFonts w:ascii="Times New Roman" w:hAnsi="Times New Roman"/>
          <w:sz w:val="19"/>
        </w:rPr>
        <w:t>delimite</w:t>
      </w:r>
      <w:r>
        <w:rPr>
          <w:rFonts w:ascii="Times New Roman" w:hAnsi="Times New Roman"/>
          <w:spacing w:val="40"/>
          <w:sz w:val="19"/>
        </w:rPr>
        <w:t> </w:t>
      </w:r>
      <w:r>
        <w:rPr>
          <w:rFonts w:ascii="Times New Roman" w:hAnsi="Times New Roman"/>
          <w:sz w:val="19"/>
        </w:rPr>
        <w:t>los</w:t>
      </w:r>
      <w:r>
        <w:rPr>
          <w:rFonts w:ascii="Times New Roman" w:hAnsi="Times New Roman"/>
          <w:spacing w:val="40"/>
          <w:sz w:val="19"/>
        </w:rPr>
        <w:t> </w:t>
      </w:r>
      <w:r>
        <w:rPr>
          <w:rFonts w:ascii="Times New Roman" w:hAnsi="Times New Roman"/>
          <w:sz w:val="19"/>
        </w:rPr>
        <w:t>supuestos,</w:t>
      </w:r>
      <w:r>
        <w:rPr>
          <w:rFonts w:ascii="Times New Roman" w:hAnsi="Times New Roman"/>
          <w:spacing w:val="40"/>
          <w:sz w:val="19"/>
        </w:rPr>
        <w:t> </w:t>
      </w:r>
      <w:r>
        <w:rPr>
          <w:rFonts w:ascii="Times New Roman" w:hAnsi="Times New Roman"/>
          <w:sz w:val="19"/>
        </w:rPr>
        <w:t>variables</w:t>
      </w:r>
      <w:r>
        <w:rPr>
          <w:rFonts w:ascii="Times New Roman" w:hAnsi="Times New Roman"/>
          <w:spacing w:val="40"/>
          <w:sz w:val="19"/>
        </w:rPr>
        <w:t> </w:t>
      </w:r>
      <w:r>
        <w:rPr>
          <w:rFonts w:ascii="Times New Roman" w:hAnsi="Times New Roman"/>
          <w:sz w:val="19"/>
        </w:rPr>
        <w:t>y</w:t>
      </w:r>
      <w:r>
        <w:rPr>
          <w:rFonts w:ascii="Times New Roman" w:hAnsi="Times New Roman"/>
          <w:spacing w:val="40"/>
          <w:sz w:val="19"/>
        </w:rPr>
        <w:t> </w:t>
      </w:r>
      <w:r>
        <w:rPr>
          <w:rFonts w:ascii="Times New Roman" w:hAnsi="Times New Roman"/>
          <w:sz w:val="19"/>
        </w:rPr>
        <w:t>riesgos</w:t>
      </w:r>
      <w:r>
        <w:rPr>
          <w:rFonts w:ascii="Times New Roman" w:hAnsi="Times New Roman"/>
          <w:spacing w:val="40"/>
          <w:sz w:val="19"/>
        </w:rPr>
        <w:t> </w:t>
      </w:r>
      <w:r>
        <w:rPr>
          <w:rFonts w:ascii="Times New Roman" w:hAnsi="Times New Roman"/>
          <w:sz w:val="19"/>
        </w:rPr>
        <w:t>para</w:t>
      </w:r>
      <w:r>
        <w:rPr>
          <w:rFonts w:ascii="Times New Roman" w:hAnsi="Times New Roman"/>
          <w:spacing w:val="40"/>
          <w:sz w:val="19"/>
        </w:rPr>
        <w:t> </w:t>
      </w:r>
      <w:r>
        <w:rPr>
          <w:rFonts w:ascii="Times New Roman" w:hAnsi="Times New Roman"/>
          <w:sz w:val="19"/>
        </w:rPr>
        <w:t>una</w:t>
      </w:r>
      <w:r>
        <w:rPr>
          <w:rFonts w:ascii="Times New Roman" w:hAnsi="Times New Roman"/>
          <w:spacing w:val="40"/>
          <w:sz w:val="19"/>
        </w:rPr>
        <w:t> </w:t>
      </w:r>
      <w:r>
        <w:rPr>
          <w:rFonts w:ascii="Times New Roman" w:hAnsi="Times New Roman"/>
          <w:sz w:val="19"/>
        </w:rPr>
        <w:t>efectiva proyección de ingresos institucionales.</w:t>
      </w:r>
    </w:p>
    <w:p>
      <w:pPr>
        <w:spacing w:before="82"/>
        <w:ind w:left="208" w:right="0" w:firstLine="0"/>
        <w:jc w:val="left"/>
        <w:rPr>
          <w:rFonts w:ascii="Times New Roman"/>
          <w:sz w:val="19"/>
        </w:rPr>
      </w:pPr>
      <w:r>
        <w:rPr/>
        <w:br w:type="column"/>
      </w:r>
      <w:r>
        <w:rPr>
          <w:rFonts w:ascii="Times New Roman"/>
          <w:sz w:val="19"/>
        </w:rPr>
        <w:t>0,84</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4" w:space="237"/>
            <w:col w:w="1862"/>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28" w:type="dxa"/>
            <w:tcBorders>
              <w:left w:val="single" w:sz="2" w:space="0" w:color="000000"/>
              <w:bottom w:val="single" w:sz="12" w:space="0" w:color="000000"/>
              <w:right w:val="single" w:sz="2" w:space="0" w:color="000000"/>
            </w:tcBorders>
            <w:shd w:val="clear" w:color="auto" w:fill="E4E4E4"/>
          </w:tcPr>
          <w:p>
            <w:pPr>
              <w:pStyle w:val="TableParagraph"/>
              <w:spacing w:line="207" w:lineRule="exact"/>
              <w:ind w:left="2"/>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jc w:val="center"/>
              <w:rPr>
                <w:b/>
                <w:sz w:val="18"/>
              </w:rPr>
            </w:pPr>
            <w:r>
              <w:rPr>
                <w:b/>
                <w:spacing w:val="-2"/>
                <w:sz w:val="18"/>
              </w:rPr>
              <w:t>Justificación</w:t>
            </w:r>
          </w:p>
        </w:tc>
      </w:tr>
      <w:tr>
        <w:trPr>
          <w:trHeight w:val="478" w:hRule="atLeast"/>
        </w:trPr>
        <w:tc>
          <w:tcPr>
            <w:tcW w:w="1709" w:type="dxa"/>
            <w:tcBorders>
              <w:top w:val="single" w:sz="12" w:space="0" w:color="000000"/>
              <w:bottom w:val="single" w:sz="12" w:space="0" w:color="000000"/>
            </w:tcBorders>
          </w:tcPr>
          <w:p>
            <w:pPr>
              <w:pStyle w:val="TableParagraph"/>
              <w:spacing w:before="2"/>
              <w:ind w:left="54"/>
              <w:rPr>
                <w:sz w:val="19"/>
              </w:rPr>
            </w:pPr>
            <w:r>
              <w:rPr>
                <w:spacing w:val="-4"/>
                <w:sz w:val="19"/>
              </w:rPr>
              <w:t>2024</w:t>
            </w:r>
          </w:p>
        </w:tc>
        <w:tc>
          <w:tcPr>
            <w:tcW w:w="4028" w:type="dxa"/>
            <w:tcBorders>
              <w:top w:val="single" w:sz="12" w:space="0" w:color="000000"/>
              <w:bottom w:val="single" w:sz="12" w:space="0" w:color="000000"/>
            </w:tcBorders>
          </w:tcPr>
          <w:p>
            <w:pPr>
              <w:pStyle w:val="TableParagraph"/>
              <w:ind w:left="42"/>
              <w:rPr>
                <w:sz w:val="19"/>
              </w:rPr>
            </w:pPr>
            <w:r>
              <w:rPr>
                <w:sz w:val="19"/>
              </w:rPr>
              <w:t>PAC</w:t>
            </w:r>
            <w:r>
              <w:rPr>
                <w:spacing w:val="80"/>
                <w:sz w:val="19"/>
              </w:rPr>
              <w:t> </w:t>
            </w:r>
            <w:r>
              <w:rPr>
                <w:sz w:val="19"/>
              </w:rPr>
              <w:t>2.10.2.1:</w:t>
            </w:r>
            <w:r>
              <w:rPr>
                <w:spacing w:val="80"/>
                <w:sz w:val="19"/>
              </w:rPr>
              <w:t> </w:t>
            </w:r>
            <w:r>
              <w:rPr>
                <w:sz w:val="19"/>
              </w:rPr>
              <w:t>Definir</w:t>
            </w:r>
            <w:r>
              <w:rPr>
                <w:spacing w:val="80"/>
                <w:sz w:val="19"/>
              </w:rPr>
              <w:t> </w:t>
            </w:r>
            <w:r>
              <w:rPr>
                <w:sz w:val="19"/>
              </w:rPr>
              <w:t>y</w:t>
            </w:r>
            <w:r>
              <w:rPr>
                <w:spacing w:val="80"/>
                <w:sz w:val="19"/>
              </w:rPr>
              <w:t> </w:t>
            </w:r>
            <w:r>
              <w:rPr>
                <w:sz w:val="19"/>
              </w:rPr>
              <w:t>justificar</w:t>
            </w:r>
            <w:r>
              <w:rPr>
                <w:spacing w:val="80"/>
                <w:sz w:val="19"/>
              </w:rPr>
              <w:t> </w:t>
            </w:r>
            <w:r>
              <w:rPr>
                <w:sz w:val="19"/>
              </w:rPr>
              <w:t>el</w:t>
            </w:r>
            <w:r>
              <w:rPr>
                <w:spacing w:val="80"/>
                <w:sz w:val="19"/>
              </w:rPr>
              <w:t> </w:t>
            </w:r>
            <w:r>
              <w:rPr>
                <w:sz w:val="19"/>
              </w:rPr>
              <w:t>objeto contractual para el Estudio Actuarial</w:t>
            </w:r>
          </w:p>
        </w:tc>
        <w:tc>
          <w:tcPr>
            <w:tcW w:w="4726" w:type="dxa"/>
            <w:tcBorders>
              <w:top w:val="single" w:sz="12" w:space="0" w:color="000000"/>
              <w:bottom w:val="single" w:sz="12" w:space="0" w:color="000000"/>
            </w:tcBorders>
          </w:tcPr>
          <w:p>
            <w:pPr>
              <w:pStyle w:val="TableParagraph"/>
              <w:spacing w:before="2"/>
              <w:ind w:left="47"/>
              <w:rPr>
                <w:sz w:val="19"/>
              </w:rPr>
            </w:pPr>
            <w:r>
              <w:rPr>
                <w:spacing w:val="-5"/>
                <w:sz w:val="19"/>
              </w:rPr>
              <w:t>N.A</w:t>
            </w:r>
          </w:p>
        </w:tc>
      </w:tr>
      <w:tr>
        <w:trPr>
          <w:trHeight w:val="927" w:hRule="atLeast"/>
        </w:trPr>
        <w:tc>
          <w:tcPr>
            <w:tcW w:w="1709" w:type="dxa"/>
            <w:tcBorders>
              <w:top w:val="single" w:sz="12" w:space="0" w:color="000000"/>
              <w:bottom w:val="single" w:sz="12" w:space="0" w:color="000000"/>
            </w:tcBorders>
          </w:tcPr>
          <w:p>
            <w:pPr>
              <w:pStyle w:val="TableParagraph"/>
              <w:spacing w:before="2"/>
              <w:ind w:left="54"/>
              <w:rPr>
                <w:sz w:val="19"/>
              </w:rPr>
            </w:pPr>
            <w:r>
              <w:rPr>
                <w:spacing w:val="-4"/>
                <w:sz w:val="19"/>
              </w:rPr>
              <w:t>2024</w:t>
            </w:r>
          </w:p>
        </w:tc>
        <w:tc>
          <w:tcPr>
            <w:tcW w:w="4028" w:type="dxa"/>
            <w:tcBorders>
              <w:top w:val="single" w:sz="12" w:space="0" w:color="000000"/>
              <w:bottom w:val="single" w:sz="12" w:space="0" w:color="000000"/>
            </w:tcBorders>
          </w:tcPr>
          <w:p>
            <w:pPr>
              <w:pStyle w:val="TableParagraph"/>
              <w:ind w:left="42" w:right="40"/>
              <w:jc w:val="both"/>
              <w:rPr>
                <w:sz w:val="19"/>
              </w:rPr>
            </w:pPr>
            <w:r>
              <w:rPr>
                <w:sz w:val="19"/>
              </w:rPr>
              <w:t>PAC 2.10.2.2: Realizar los requisitos previos para la contratación del Estudio Actuarial. (primeras 12 actividades del cronograma del proceso de </w:t>
            </w:r>
            <w:r>
              <w:rPr>
                <w:spacing w:val="-2"/>
                <w:sz w:val="19"/>
              </w:rPr>
              <w:t>contratación)</w:t>
            </w:r>
          </w:p>
        </w:tc>
        <w:tc>
          <w:tcPr>
            <w:tcW w:w="4726" w:type="dxa"/>
            <w:tcBorders>
              <w:top w:val="single" w:sz="12" w:space="0" w:color="000000"/>
              <w:bottom w:val="single" w:sz="12" w:space="0" w:color="000000"/>
            </w:tcBorders>
          </w:tcPr>
          <w:p>
            <w:pPr>
              <w:pStyle w:val="TableParagraph"/>
              <w:spacing w:before="2"/>
              <w:ind w:left="47"/>
              <w:rPr>
                <w:sz w:val="19"/>
              </w:rPr>
            </w:pPr>
            <w:r>
              <w:rPr>
                <w:spacing w:val="-5"/>
                <w:sz w:val="19"/>
              </w:rPr>
              <w:t>N.A</w:t>
            </w:r>
          </w:p>
        </w:tc>
      </w:tr>
      <w:tr>
        <w:trPr>
          <w:trHeight w:val="1151"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28" w:type="dxa"/>
            <w:tcBorders>
              <w:top w:val="single" w:sz="12" w:space="0" w:color="000000"/>
            </w:tcBorders>
          </w:tcPr>
          <w:p>
            <w:pPr>
              <w:pStyle w:val="TableParagraph"/>
              <w:ind w:left="42" w:right="38"/>
              <w:jc w:val="both"/>
              <w:rPr>
                <w:sz w:val="19"/>
              </w:rPr>
            </w:pPr>
            <w:r>
              <w:rPr>
                <w:sz w:val="19"/>
              </w:rPr>
              <w:t>PAC 2.10.2.3: Dar seguimiento para que se complete el proceso de contratación del estudio actuarial que delimite los supuestos, variables y riesgos para una efectiva proyección de ingresos </w:t>
            </w:r>
            <w:r>
              <w:rPr>
                <w:spacing w:val="-2"/>
                <w:sz w:val="19"/>
              </w:rPr>
              <w:t>institucionales.</w:t>
            </w:r>
          </w:p>
        </w:tc>
        <w:tc>
          <w:tcPr>
            <w:tcW w:w="4726" w:type="dxa"/>
            <w:tcBorders>
              <w:top w:val="single" w:sz="12" w:space="0" w:color="000000"/>
            </w:tcBorders>
          </w:tcPr>
          <w:p>
            <w:pPr>
              <w:pStyle w:val="TableParagraph"/>
              <w:spacing w:line="218" w:lineRule="exact"/>
              <w:ind w:left="47"/>
              <w:rPr>
                <w:sz w:val="19"/>
              </w:rPr>
            </w:pPr>
            <w:r>
              <w:rPr>
                <w:spacing w:val="-5"/>
                <w:sz w:val="19"/>
              </w:rPr>
              <w:t>N.A</w:t>
            </w:r>
          </w:p>
        </w:tc>
      </w:tr>
    </w:tbl>
    <w:p>
      <w:pPr>
        <w:pStyle w:val="TableParagraph"/>
        <w:spacing w:after="0" w:line="218" w:lineRule="exact"/>
        <w:rPr>
          <w:sz w:val="19"/>
        </w:rPr>
        <w:sectPr>
          <w:type w:val="continuous"/>
          <w:pgSz w:w="13370" w:h="17280"/>
          <w:pgMar w:header="507" w:footer="776" w:top="1120" w:bottom="1160" w:left="1275" w:right="992"/>
        </w:sectPr>
      </w:pPr>
    </w:p>
    <w:p>
      <w:pPr>
        <w:pStyle w:val="Heading4"/>
        <w:tabs>
          <w:tab w:pos="2030" w:val="left" w:leader="none"/>
        </w:tabs>
        <w:spacing w:line="237" w:lineRule="auto"/>
        <w:ind w:right="4944"/>
      </w:pPr>
      <w:r>
        <w:rPr/>
        <mc:AlternateContent>
          <mc:Choice Requires="wps">
            <w:drawing>
              <wp:anchor distT="0" distB="0" distL="0" distR="0" allowOverlap="1" layoutInCell="1" locked="0" behindDoc="0" simplePos="0" relativeHeight="15740928">
                <wp:simplePos x="0" y="0"/>
                <wp:positionH relativeFrom="page">
                  <wp:posOffset>5261030</wp:posOffset>
                </wp:positionH>
                <wp:positionV relativeFrom="paragraph">
                  <wp:posOffset>18237</wp:posOffset>
                </wp:positionV>
                <wp:extent cx="1934210" cy="59817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1934210" cy="598170"/>
                          <a:chExt cx="1934210" cy="598170"/>
                        </a:xfrm>
                      </wpg:grpSpPr>
                      <pic:pic>
                        <pic:nvPicPr>
                          <pic:cNvPr id="49" name="Image 49"/>
                          <pic:cNvPicPr/>
                        </pic:nvPicPr>
                        <pic:blipFill>
                          <a:blip r:embed="rId35" cstate="print"/>
                          <a:stretch>
                            <a:fillRect/>
                          </a:stretch>
                        </pic:blipFill>
                        <pic:spPr>
                          <a:xfrm>
                            <a:off x="0" y="321015"/>
                            <a:ext cx="1934114" cy="276697"/>
                          </a:xfrm>
                          <a:prstGeom prst="rect">
                            <a:avLst/>
                          </a:prstGeom>
                        </pic:spPr>
                      </pic:pic>
                      <wps:wsp>
                        <wps:cNvPr id="50" name="Graphic 50"/>
                        <wps:cNvSpPr/>
                        <wps:spPr>
                          <a:xfrm>
                            <a:off x="910915" y="0"/>
                            <a:ext cx="12700" cy="398145"/>
                          </a:xfrm>
                          <a:custGeom>
                            <a:avLst/>
                            <a:gdLst/>
                            <a:ahLst/>
                            <a:cxnLst/>
                            <a:rect l="l" t="t" r="r" b="b"/>
                            <a:pathLst>
                              <a:path w="12700" h="398145">
                                <a:moveTo>
                                  <a:pt x="3035" y="0"/>
                                </a:moveTo>
                                <a:lnTo>
                                  <a:pt x="0" y="0"/>
                                </a:lnTo>
                                <a:lnTo>
                                  <a:pt x="0" y="398068"/>
                                </a:lnTo>
                                <a:lnTo>
                                  <a:pt x="3035" y="398068"/>
                                </a:lnTo>
                                <a:lnTo>
                                  <a:pt x="3035" y="0"/>
                                </a:lnTo>
                                <a:close/>
                              </a:path>
                              <a:path w="12700" h="398145">
                                <a:moveTo>
                                  <a:pt x="12179" y="0"/>
                                </a:moveTo>
                                <a:lnTo>
                                  <a:pt x="9144" y="0"/>
                                </a:lnTo>
                                <a:lnTo>
                                  <a:pt x="9144" y="398068"/>
                                </a:lnTo>
                                <a:lnTo>
                                  <a:pt x="12179" y="398068"/>
                                </a:lnTo>
                                <a:lnTo>
                                  <a:pt x="12179" y="0"/>
                                </a:lnTo>
                                <a:close/>
                              </a:path>
                            </a:pathLst>
                          </a:custGeom>
                          <a:solidFill>
                            <a:srgbClr val="FFFFFF"/>
                          </a:solidFill>
                        </wps:spPr>
                        <wps:bodyPr wrap="square" lIns="0" tIns="0" rIns="0" bIns="0" rtlCol="0">
                          <a:prstTxWarp prst="textNoShape">
                            <a:avLst/>
                          </a:prstTxWarp>
                          <a:noAutofit/>
                        </wps:bodyPr>
                      </wps:wsp>
                      <wps:wsp>
                        <wps:cNvPr id="51" name="Textbox 51"/>
                        <wps:cNvSpPr txBox="1"/>
                        <wps:spPr>
                          <a:xfrm>
                            <a:off x="0" y="0"/>
                            <a:ext cx="1934210" cy="598170"/>
                          </a:xfrm>
                          <a:prstGeom prst="rect">
                            <a:avLst/>
                          </a:prstGeom>
                        </wps:spPr>
                        <wps:txbx>
                          <w:txbxContent>
                            <w:p>
                              <w:pPr>
                                <w:spacing w:before="1"/>
                                <w:ind w:left="905" w:right="0" w:firstLine="0"/>
                                <w:jc w:val="left"/>
                                <w:rPr>
                                  <w:rFonts w:ascii="Times New Roman"/>
                                  <w:b/>
                                  <w:sz w:val="22"/>
                                </w:rPr>
                              </w:pPr>
                              <w:r>
                                <w:rPr>
                                  <w:rFonts w:ascii="Times New Roman"/>
                                  <w:b/>
                                  <w:sz w:val="22"/>
                                </w:rPr>
                                <w:t>34,67</w:t>
                              </w:r>
                              <w:r>
                                <w:rPr>
                                  <w:rFonts w:ascii="Times New Roman"/>
                                  <w:b/>
                                  <w:spacing w:val="29"/>
                                  <w:sz w:val="22"/>
                                </w:rPr>
                                <w:t> </w:t>
                              </w:r>
                              <w:r>
                                <w:rPr>
                                  <w:rFonts w:ascii="Times New Roman"/>
                                  <w:b/>
                                  <w:spacing w:val="-10"/>
                                  <w:sz w:val="22"/>
                                </w:rPr>
                                <w:t>%</w:t>
                              </w:r>
                            </w:p>
                          </w:txbxContent>
                        </wps:txbx>
                        <wps:bodyPr wrap="square" lIns="0" tIns="0" rIns="0" bIns="0" rtlCol="0">
                          <a:noAutofit/>
                        </wps:bodyPr>
                      </wps:wsp>
                    </wpg:wgp>
                  </a:graphicData>
                </a:graphic>
              </wp:anchor>
            </w:drawing>
          </mc:Choice>
          <mc:Fallback>
            <w:pict>
              <v:group style="position:absolute;margin-left:414.254395pt;margin-top:1.436pt;width:152.3pt;height:47.1pt;mso-position-horizontal-relative:page;mso-position-vertical-relative:paragraph;z-index:15740928" id="docshapegroup22" coordorigin="8285,29" coordsize="3046,942">
                <v:shape style="position:absolute;left:8285;top:534;width:3046;height:436" type="#_x0000_t75" id="docshape23" stroked="false">
                  <v:imagedata r:id="rId35" o:title=""/>
                </v:shape>
                <v:shape style="position:absolute;left:9719;top:28;width:20;height:627" id="docshape24" coordorigin="9720,29" coordsize="20,627" path="m9724,29l9720,29,9720,656,9724,656,9724,29xm9739,29l9734,29,9734,656,9739,656,9739,29xe" filled="true" fillcolor="#ffffff" stroked="false">
                  <v:path arrowok="t"/>
                  <v:fill type="solid"/>
                </v:shape>
                <v:shape style="position:absolute;left:8285;top:28;width:3046;height:942" type="#_x0000_t202" id="docshape25" filled="false" stroked="false">
                  <v:textbox inset="0,0,0,0">
                    <w:txbxContent>
                      <w:p>
                        <w:pPr>
                          <w:spacing w:before="1"/>
                          <w:ind w:left="905" w:right="0" w:firstLine="0"/>
                          <w:jc w:val="left"/>
                          <w:rPr>
                            <w:rFonts w:ascii="Times New Roman"/>
                            <w:b/>
                            <w:sz w:val="22"/>
                          </w:rPr>
                        </w:pPr>
                        <w:r>
                          <w:rPr>
                            <w:rFonts w:ascii="Times New Roman"/>
                            <w:b/>
                            <w:sz w:val="22"/>
                          </w:rPr>
                          <w:t>34,67</w:t>
                        </w:r>
                        <w:r>
                          <w:rPr>
                            <w:rFonts w:ascii="Times New Roman"/>
                            <w:b/>
                            <w:spacing w:val="29"/>
                            <w:sz w:val="22"/>
                          </w:rPr>
                          <w:t> </w:t>
                        </w:r>
                        <w:r>
                          <w:rPr>
                            <w:rFonts w:ascii="Times New Roman"/>
                            <w:b/>
                            <w:spacing w:val="-10"/>
                            <w:sz w:val="22"/>
                          </w:rPr>
                          <w:t>%</w:t>
                        </w:r>
                      </w:p>
                    </w:txbxContent>
                  </v:textbox>
                  <w10:wrap type="none"/>
                </v:shape>
                <w10:wrap type="none"/>
              </v:group>
            </w:pict>
          </mc:Fallback>
        </mc:AlternateContent>
      </w:r>
      <w:r>
        <w:rPr>
          <w:spacing w:val="-4"/>
        </w:rPr>
        <w:t>Eje:</w:t>
      </w:r>
      <w:r>
        <w:rPr/>
        <w:tab/>
        <w:t>2:</w:t>
      </w:r>
      <w:r>
        <w:rPr>
          <w:spacing w:val="-8"/>
        </w:rPr>
        <w:t> </w:t>
      </w:r>
      <w:r>
        <w:rPr/>
        <w:t>Gestión</w:t>
      </w:r>
      <w:r>
        <w:rPr>
          <w:spacing w:val="-6"/>
        </w:rPr>
        <w:t> </w:t>
      </w:r>
      <w:r>
        <w:rPr/>
        <w:t>del</w:t>
      </w:r>
      <w:r>
        <w:rPr>
          <w:spacing w:val="-8"/>
        </w:rPr>
        <w:t> </w:t>
      </w:r>
      <w:r>
        <w:rPr/>
        <w:t>desarrollo</w:t>
      </w:r>
      <w:r>
        <w:rPr>
          <w:spacing w:val="-8"/>
        </w:rPr>
        <w:t> </w:t>
      </w:r>
      <w:r>
        <w:rPr/>
        <w:t>con</w:t>
      </w:r>
      <w:r>
        <w:rPr>
          <w:spacing w:val="-8"/>
        </w:rPr>
        <w:t> </w:t>
      </w:r>
      <w:r>
        <w:rPr/>
        <w:t>enfoque </w:t>
      </w:r>
      <w:r>
        <w:rPr>
          <w:spacing w:val="-2"/>
        </w:rPr>
        <w:t>interseccional</w:t>
      </w:r>
    </w:p>
    <w:p>
      <w:pPr>
        <w:pStyle w:val="BodyText"/>
        <w:spacing w:before="33"/>
        <w:rPr>
          <w:rFonts w:ascii="Times New Roman"/>
          <w:b/>
          <w:sz w:val="19"/>
        </w:rPr>
      </w:pPr>
    </w:p>
    <w:p>
      <w:pPr>
        <w:pStyle w:val="ListParagraph"/>
        <w:numPr>
          <w:ilvl w:val="0"/>
          <w:numId w:val="5"/>
        </w:numPr>
        <w:tabs>
          <w:tab w:pos="426" w:val="left" w:leader="none"/>
        </w:tabs>
        <w:spacing w:line="240" w:lineRule="auto" w:before="0" w:after="0"/>
        <w:ind w:left="426" w:right="0" w:hanging="179"/>
        <w:jc w:val="left"/>
        <w:rPr>
          <w:rFonts w:ascii="Times New Roman"/>
          <w:sz w:val="19"/>
        </w:rPr>
      </w:pP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5"/>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2:</w:t>
      </w:r>
      <w:r>
        <w:rPr>
          <w:rFonts w:ascii="Times New Roman" w:hAnsi="Times New Roman"/>
          <w:b/>
          <w:spacing w:val="-2"/>
          <w:sz w:val="18"/>
        </w:rPr>
        <w:t> </w:t>
      </w:r>
      <w:r>
        <w:rPr>
          <w:rFonts w:ascii="Times New Roman" w:hAnsi="Times New Roman"/>
          <w:b/>
          <w:sz w:val="18"/>
        </w:rPr>
        <w:t>Gestión</w:t>
      </w:r>
      <w:r>
        <w:rPr>
          <w:rFonts w:ascii="Times New Roman" w:hAnsi="Times New Roman"/>
          <w:b/>
          <w:spacing w:val="-1"/>
          <w:sz w:val="18"/>
        </w:rPr>
        <w:t> </w:t>
      </w:r>
      <w:r>
        <w:rPr>
          <w:rFonts w:ascii="Times New Roman" w:hAnsi="Times New Roman"/>
          <w:b/>
          <w:sz w:val="18"/>
        </w:rPr>
        <w:t>del</w:t>
      </w:r>
      <w:r>
        <w:rPr>
          <w:rFonts w:ascii="Times New Roman" w:hAnsi="Times New Roman"/>
          <w:b/>
          <w:spacing w:val="-3"/>
          <w:sz w:val="18"/>
        </w:rPr>
        <w:t> </w:t>
      </w:r>
      <w:r>
        <w:rPr>
          <w:rFonts w:ascii="Times New Roman" w:hAnsi="Times New Roman"/>
          <w:b/>
          <w:sz w:val="18"/>
        </w:rPr>
        <w:t>desarrollo con</w:t>
      </w:r>
      <w:r>
        <w:rPr>
          <w:rFonts w:ascii="Times New Roman" w:hAnsi="Times New Roman"/>
          <w:b/>
          <w:spacing w:val="-3"/>
          <w:sz w:val="18"/>
        </w:rPr>
        <w:t> </w:t>
      </w:r>
      <w:r>
        <w:rPr>
          <w:rFonts w:ascii="Times New Roman" w:hAnsi="Times New Roman"/>
          <w:b/>
          <w:sz w:val="18"/>
        </w:rPr>
        <w:t>enfoque</w:t>
      </w:r>
      <w:r>
        <w:rPr>
          <w:rFonts w:ascii="Times New Roman" w:hAnsi="Times New Roman"/>
          <w:b/>
          <w:spacing w:val="-2"/>
          <w:sz w:val="18"/>
        </w:rPr>
        <w:t> interseccional</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60"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right="983"/>
              <w:jc w:val="center"/>
              <w:rPr>
                <w:sz w:val="19"/>
              </w:rPr>
            </w:pPr>
            <w:r>
              <w:rPr>
                <w:spacing w:val="-10"/>
                <w:sz w:val="19"/>
              </w:rPr>
              <w:t>4</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right="983"/>
              <w:jc w:val="center"/>
              <w:rPr>
                <w:sz w:val="19"/>
              </w:rPr>
            </w:pPr>
            <w:r>
              <w:rPr>
                <w:spacing w:val="-10"/>
                <w:sz w:val="19"/>
              </w:rPr>
              <w:t>3</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0</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right="983"/>
              <w:jc w:val="center"/>
              <w:rPr>
                <w:sz w:val="19"/>
              </w:rPr>
            </w:pPr>
            <w:r>
              <w:rPr>
                <w:spacing w:val="-10"/>
                <w:sz w:val="19"/>
              </w:rPr>
              <w:t>1</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9616">
                <wp:simplePos x="0" y="0"/>
                <wp:positionH relativeFrom="page">
                  <wp:posOffset>1106728</wp:posOffset>
                </wp:positionH>
                <wp:positionV relativeFrom="paragraph">
                  <wp:posOffset>301383</wp:posOffset>
                </wp:positionV>
                <wp:extent cx="6210300" cy="1562735"/>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3097pt;width:489pt;height:123.05pt;mso-position-horizontal-relative:page;mso-position-vertical-relative:paragraph;z-index:-15716864;mso-wrap-distance-left:0;mso-wrap-distance-right:0" id="docshape26"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rPr>
          <w:rFonts w:ascii="Times New Roman"/>
          <w:b/>
          <w:sz w:val="18"/>
        </w:rPr>
      </w:pPr>
    </w:p>
    <w:p>
      <w:pPr>
        <w:pStyle w:val="BodyText"/>
        <w:spacing w:before="181"/>
        <w:rPr>
          <w:rFonts w:ascii="Times New Roman"/>
          <w:b/>
          <w:sz w:val="18"/>
        </w:rPr>
      </w:pPr>
    </w:p>
    <w:p>
      <w:pPr>
        <w:spacing w:before="0"/>
        <w:ind w:left="179" w:right="0" w:firstLine="0"/>
        <w:jc w:val="left"/>
        <w:rPr>
          <w:rFonts w:ascii="Times New Roman" w:hAnsi="Times New Roman"/>
          <w:sz w:val="19"/>
        </w:rPr>
      </w:pPr>
      <w:r>
        <w:rPr>
          <w:rFonts w:ascii="Times New Roman" w:hAnsi="Times New Roman"/>
          <w:sz w:val="19"/>
        </w:rPr>
        <w:drawing>
          <wp:anchor distT="0" distB="0" distL="0" distR="0" allowOverlap="1" layoutInCell="1" locked="0" behindDoc="1" simplePos="0" relativeHeight="486297088">
            <wp:simplePos x="0" y="0"/>
            <wp:positionH relativeFrom="page">
              <wp:posOffset>1200791</wp:posOffset>
            </wp:positionH>
            <wp:positionV relativeFrom="paragraph">
              <wp:posOffset>-1855162</wp:posOffset>
            </wp:positionV>
            <wp:extent cx="5989374" cy="1409700"/>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36" cstate="print"/>
                    <a:stretch>
                      <a:fillRect/>
                    </a:stretch>
                  </pic:blipFill>
                  <pic:spPr>
                    <a:xfrm>
                      <a:off x="0" y="0"/>
                      <a:ext cx="5989374" cy="1409700"/>
                    </a:xfrm>
                    <a:prstGeom prst="rect">
                      <a:avLst/>
                    </a:prstGeom>
                  </pic:spPr>
                </pic:pic>
              </a:graphicData>
            </a:graphic>
          </wp:anchor>
        </w:drawing>
      </w:r>
      <w:r>
        <w:rPr>
          <w:rFonts w:ascii="Times New Roman" w:hAnsi="Times New Roman"/>
          <w:sz w:val="19"/>
        </w:rPr>
        <mc:AlternateContent>
          <mc:Choice Requires="wps">
            <w:drawing>
              <wp:anchor distT="0" distB="0" distL="0" distR="0" allowOverlap="1" layoutInCell="1" locked="0" behindDoc="0" simplePos="0" relativeHeight="15741952">
                <wp:simplePos x="0" y="0"/>
                <wp:positionH relativeFrom="page">
                  <wp:posOffset>7247890</wp:posOffset>
                </wp:positionH>
                <wp:positionV relativeFrom="paragraph">
                  <wp:posOffset>608606</wp:posOffset>
                </wp:positionV>
                <wp:extent cx="200025" cy="3048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200025" cy="304800"/>
                          <a:chExt cx="200025" cy="304800"/>
                        </a:xfrm>
                      </wpg:grpSpPr>
                      <pic:pic>
                        <pic:nvPicPr>
                          <pic:cNvPr id="55" name="Image 55"/>
                          <pic:cNvPicPr/>
                        </pic:nvPicPr>
                        <pic:blipFill>
                          <a:blip r:embed="rId37" cstate="print"/>
                          <a:stretch>
                            <a:fillRect/>
                          </a:stretch>
                        </pic:blipFill>
                        <pic:spPr>
                          <a:xfrm>
                            <a:off x="0" y="0"/>
                            <a:ext cx="200025" cy="164592"/>
                          </a:xfrm>
                          <a:prstGeom prst="rect">
                            <a:avLst/>
                          </a:prstGeom>
                        </pic:spPr>
                      </pic:pic>
                      <wps:wsp>
                        <wps:cNvPr id="56" name="Graphic 56"/>
                        <wps:cNvSpPr/>
                        <wps:spPr>
                          <a:xfrm>
                            <a:off x="6095" y="1523"/>
                            <a:ext cx="3175" cy="303530"/>
                          </a:xfrm>
                          <a:custGeom>
                            <a:avLst/>
                            <a:gdLst/>
                            <a:ahLst/>
                            <a:cxnLst/>
                            <a:rect l="l" t="t" r="r" b="b"/>
                            <a:pathLst>
                              <a:path w="3175" h="303530">
                                <a:moveTo>
                                  <a:pt x="3047" y="0"/>
                                </a:moveTo>
                                <a:lnTo>
                                  <a:pt x="0" y="0"/>
                                </a:lnTo>
                                <a:lnTo>
                                  <a:pt x="0" y="303276"/>
                                </a:lnTo>
                                <a:lnTo>
                                  <a:pt x="3047" y="303276"/>
                                </a:lnTo>
                                <a:lnTo>
                                  <a:pt x="304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70.700012pt;margin-top:47.921757pt;width:15.75pt;height:24pt;mso-position-horizontal-relative:page;mso-position-vertical-relative:paragraph;z-index:15741952" id="docshapegroup27" coordorigin="11414,958" coordsize="315,480">
                <v:shape style="position:absolute;left:11414;top:958;width:315;height:260" type="#_x0000_t75" id="docshape28" stroked="false">
                  <v:imagedata r:id="rId37" o:title=""/>
                </v:shape>
                <v:rect style="position:absolute;left:11423;top:960;width:5;height:478" id="docshape29" filled="true" fillcolor="#ffffff" stroked="false">
                  <v:fill type="solid"/>
                </v:rect>
                <w10:wrap type="none"/>
              </v:group>
            </w:pict>
          </mc:Fallback>
        </mc:AlternateContent>
      </w:r>
      <w:r>
        <w:rPr>
          <w:rFonts w:ascii="Times New Roman" w:hAnsi="Times New Roman"/>
          <w:sz w:val="19"/>
        </w:rPr>
        <w:t>Por</w:t>
      </w:r>
      <w:r>
        <w:rPr>
          <w:rFonts w:ascii="Times New Roman" w:hAnsi="Times New Roman"/>
          <w:spacing w:val="-7"/>
          <w:sz w:val="19"/>
        </w:rPr>
        <w:t> </w:t>
      </w:r>
      <w:r>
        <w:rPr>
          <w:rFonts w:ascii="Times New Roman" w:hAnsi="Times New Roman"/>
          <w:sz w:val="19"/>
        </w:rPr>
        <w:t>otra</w:t>
      </w:r>
      <w:r>
        <w:rPr>
          <w:rFonts w:ascii="Times New Roman" w:hAnsi="Times New Roman"/>
          <w:spacing w:val="-6"/>
          <w:sz w:val="19"/>
        </w:rPr>
        <w:t> </w:t>
      </w:r>
      <w:r>
        <w:rPr>
          <w:rFonts w:ascii="Times New Roman" w:hAnsi="Times New Roman"/>
          <w:sz w:val="19"/>
        </w:rPr>
        <w:t>parte,</w:t>
      </w:r>
      <w:r>
        <w:rPr>
          <w:rFonts w:ascii="Times New Roman" w:hAnsi="Times New Roman"/>
          <w:spacing w:val="-5"/>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5"/>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reportaron</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avance</w:t>
      </w:r>
      <w:r>
        <w:rPr>
          <w:rFonts w:ascii="Times New Roman" w:hAnsi="Times New Roman"/>
          <w:spacing w:val="-6"/>
          <w:sz w:val="19"/>
        </w:rPr>
        <w:t> </w:t>
      </w:r>
      <w:r>
        <w:rPr>
          <w:rFonts w:ascii="Times New Roman" w:hAnsi="Times New Roman"/>
          <w:spacing w:val="-2"/>
          <w:sz w:val="19"/>
        </w:rPr>
        <w:t>crítico.</w:t>
      </w:r>
    </w:p>
    <w:p>
      <w:pPr>
        <w:pStyle w:val="BodyText"/>
        <w:spacing w:before="59"/>
        <w:rPr>
          <w:rFonts w:ascii="Times New Roman"/>
          <w:sz w:val="20"/>
        </w:rPr>
      </w:pPr>
    </w:p>
    <w:p>
      <w:pPr>
        <w:pStyle w:val="BodyText"/>
        <w:spacing w:after="0"/>
        <w:rPr>
          <w:rFonts w:ascii="Times New Roman"/>
          <w:sz w:val="20"/>
        </w:rPr>
        <w:sectPr>
          <w:pgSz w:w="13370" w:h="17280"/>
          <w:pgMar w:header="507" w:footer="776" w:top="1340" w:bottom="1160" w:left="1275" w:right="992"/>
        </w:sectPr>
      </w:pPr>
    </w:p>
    <w:p>
      <w:pPr>
        <w:spacing w:before="92"/>
        <w:ind w:left="74" w:right="0" w:firstLine="0"/>
        <w:jc w:val="left"/>
        <w:rPr>
          <w:rFonts w:ascii="Times New Roman" w:hAnsi="Times New Roman"/>
          <w:b/>
          <w:sz w:val="18"/>
        </w:rPr>
      </w:pPr>
      <w:r>
        <w:rPr>
          <w:rFonts w:ascii="Times New Roman" w:hAnsi="Times New Roman"/>
          <w:b/>
          <w:sz w:val="18"/>
        </w:rPr>
        <w:t>Detalle</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metas</w:t>
      </w:r>
      <w:r>
        <w:rPr>
          <w:rFonts w:ascii="Times New Roman" w:hAnsi="Times New Roman"/>
          <w:b/>
          <w:spacing w:val="-1"/>
          <w:sz w:val="18"/>
        </w:rPr>
        <w:t> </w:t>
      </w:r>
      <w:r>
        <w:rPr>
          <w:rFonts w:ascii="Times New Roman" w:hAnsi="Times New Roman"/>
          <w:b/>
          <w:sz w:val="18"/>
        </w:rPr>
        <w:t>con</w:t>
      </w:r>
      <w:r>
        <w:rPr>
          <w:rFonts w:ascii="Times New Roman" w:hAnsi="Times New Roman"/>
          <w:b/>
          <w:spacing w:val="-3"/>
          <w:sz w:val="18"/>
        </w:rPr>
        <w:t> </w:t>
      </w:r>
      <w:r>
        <w:rPr>
          <w:rFonts w:ascii="Times New Roman" w:hAnsi="Times New Roman"/>
          <w:b/>
          <w:sz w:val="18"/>
        </w:rPr>
        <w:t>avance</w:t>
      </w:r>
      <w:r>
        <w:rPr>
          <w:rFonts w:ascii="Times New Roman" w:hAnsi="Times New Roman"/>
          <w:b/>
          <w:spacing w:val="-1"/>
          <w:sz w:val="18"/>
        </w:rPr>
        <w:t> </w:t>
      </w:r>
      <w:r>
        <w:rPr>
          <w:rFonts w:ascii="Times New Roman" w:hAnsi="Times New Roman"/>
          <w:b/>
          <w:spacing w:val="-2"/>
          <w:sz w:val="18"/>
        </w:rPr>
        <w:t>crítico</w:t>
      </w:r>
    </w:p>
    <w:p>
      <w:pPr>
        <w:pStyle w:val="BodyText"/>
        <w:spacing w:before="53"/>
        <w:rPr>
          <w:rFonts w:ascii="Times New Roman"/>
          <w:b/>
          <w:sz w:val="18"/>
        </w:rPr>
      </w:pPr>
    </w:p>
    <w:p>
      <w:pPr>
        <w:spacing w:line="159" w:lineRule="exact" w:before="0"/>
        <w:ind w:left="1454" w:right="0" w:firstLine="0"/>
        <w:jc w:val="left"/>
        <w:rPr>
          <w:rFonts w:ascii="Times New Roman" w:hAnsi="Times New Roman"/>
          <w:sz w:val="19"/>
        </w:rPr>
      </w:pPr>
      <w:r>
        <w:rPr>
          <w:rFonts w:ascii="Times New Roman" w:hAnsi="Times New Roman"/>
          <w:sz w:val="19"/>
        </w:rPr>
        <w:t>2.3.1</w:t>
      </w:r>
      <w:r>
        <w:rPr>
          <w:rFonts w:ascii="Times New Roman" w:hAnsi="Times New Roman"/>
          <w:spacing w:val="14"/>
          <w:sz w:val="19"/>
        </w:rPr>
        <w:t> </w:t>
      </w:r>
      <w:r>
        <w:rPr>
          <w:rFonts w:ascii="Times New Roman" w:hAnsi="Times New Roman"/>
          <w:sz w:val="19"/>
        </w:rPr>
        <w:t>Estándares</w:t>
      </w:r>
      <w:r>
        <w:rPr>
          <w:rFonts w:ascii="Times New Roman" w:hAnsi="Times New Roman"/>
          <w:spacing w:val="13"/>
          <w:sz w:val="19"/>
        </w:rPr>
        <w:t> </w:t>
      </w:r>
      <w:r>
        <w:rPr>
          <w:rFonts w:ascii="Times New Roman" w:hAnsi="Times New Roman"/>
          <w:sz w:val="19"/>
        </w:rPr>
        <w:t>de</w:t>
      </w:r>
      <w:r>
        <w:rPr>
          <w:rFonts w:ascii="Times New Roman" w:hAnsi="Times New Roman"/>
          <w:spacing w:val="13"/>
          <w:sz w:val="19"/>
        </w:rPr>
        <w:t> </w:t>
      </w:r>
      <w:r>
        <w:rPr>
          <w:rFonts w:ascii="Times New Roman" w:hAnsi="Times New Roman"/>
          <w:sz w:val="19"/>
        </w:rPr>
        <w:t>calidad</w:t>
      </w:r>
      <w:r>
        <w:rPr>
          <w:rFonts w:ascii="Times New Roman" w:hAnsi="Times New Roman"/>
          <w:spacing w:val="11"/>
          <w:sz w:val="19"/>
        </w:rPr>
        <w:t> </w:t>
      </w:r>
      <w:r>
        <w:rPr>
          <w:rFonts w:ascii="Times New Roman" w:hAnsi="Times New Roman"/>
          <w:sz w:val="19"/>
        </w:rPr>
        <w:t>de</w:t>
      </w:r>
      <w:r>
        <w:rPr>
          <w:rFonts w:ascii="Times New Roman" w:hAnsi="Times New Roman"/>
          <w:spacing w:val="13"/>
          <w:sz w:val="19"/>
        </w:rPr>
        <w:t> </w:t>
      </w:r>
      <w:r>
        <w:rPr>
          <w:rFonts w:ascii="Times New Roman" w:hAnsi="Times New Roman"/>
          <w:sz w:val="19"/>
        </w:rPr>
        <w:t>la</w:t>
      </w:r>
      <w:r>
        <w:rPr>
          <w:rFonts w:ascii="Times New Roman" w:hAnsi="Times New Roman"/>
          <w:spacing w:val="13"/>
          <w:sz w:val="19"/>
        </w:rPr>
        <w:t> </w:t>
      </w:r>
      <w:r>
        <w:rPr>
          <w:rFonts w:ascii="Times New Roman" w:hAnsi="Times New Roman"/>
          <w:sz w:val="19"/>
        </w:rPr>
        <w:t>oferta</w:t>
      </w:r>
      <w:r>
        <w:rPr>
          <w:rFonts w:ascii="Times New Roman" w:hAnsi="Times New Roman"/>
          <w:spacing w:val="13"/>
          <w:sz w:val="19"/>
        </w:rPr>
        <w:t> </w:t>
      </w:r>
      <w:r>
        <w:rPr>
          <w:rFonts w:ascii="Times New Roman" w:hAnsi="Times New Roman"/>
          <w:sz w:val="19"/>
        </w:rPr>
        <w:t>programática</w:t>
      </w:r>
      <w:r>
        <w:rPr>
          <w:rFonts w:ascii="Times New Roman" w:hAnsi="Times New Roman"/>
          <w:spacing w:val="13"/>
          <w:sz w:val="19"/>
        </w:rPr>
        <w:t> </w:t>
      </w:r>
      <w:r>
        <w:rPr>
          <w:rFonts w:ascii="Times New Roman" w:hAnsi="Times New Roman"/>
          <w:sz w:val="19"/>
        </w:rPr>
        <w:t>institucional</w:t>
      </w:r>
      <w:r>
        <w:rPr>
          <w:rFonts w:ascii="Times New Roman" w:hAnsi="Times New Roman"/>
          <w:spacing w:val="13"/>
          <w:sz w:val="19"/>
        </w:rPr>
        <w:t> </w:t>
      </w:r>
      <w:r>
        <w:rPr>
          <w:rFonts w:ascii="Times New Roman" w:hAnsi="Times New Roman"/>
          <w:sz w:val="19"/>
        </w:rPr>
        <w:t>diseñados,</w:t>
      </w:r>
      <w:r>
        <w:rPr>
          <w:rFonts w:ascii="Times New Roman" w:hAnsi="Times New Roman"/>
          <w:spacing w:val="13"/>
          <w:sz w:val="19"/>
        </w:rPr>
        <w:t> </w:t>
      </w:r>
      <w:r>
        <w:rPr>
          <w:rFonts w:ascii="Times New Roman" w:hAnsi="Times New Roman"/>
          <w:sz w:val="19"/>
        </w:rPr>
        <w:t>que</w:t>
      </w:r>
      <w:r>
        <w:rPr>
          <w:rFonts w:ascii="Times New Roman" w:hAnsi="Times New Roman"/>
          <w:spacing w:val="12"/>
          <w:sz w:val="19"/>
        </w:rPr>
        <w:t> </w:t>
      </w:r>
      <w:r>
        <w:rPr>
          <w:rFonts w:ascii="Times New Roman" w:hAnsi="Times New Roman"/>
          <w:sz w:val="19"/>
        </w:rPr>
        <w:t>permitan</w:t>
      </w:r>
      <w:r>
        <w:rPr>
          <w:rFonts w:ascii="Times New Roman" w:hAnsi="Times New Roman"/>
          <w:spacing w:val="14"/>
          <w:sz w:val="19"/>
        </w:rPr>
        <w:t> </w:t>
      </w:r>
      <w:r>
        <w:rPr>
          <w:rFonts w:ascii="Times New Roman" w:hAnsi="Times New Roman"/>
          <w:spacing w:val="-5"/>
          <w:sz w:val="19"/>
        </w:rPr>
        <w:t>el</w:t>
      </w:r>
    </w:p>
    <w:p>
      <w:pPr>
        <w:pStyle w:val="BodyText"/>
        <w:rPr>
          <w:rFonts w:ascii="Times New Roman"/>
          <w:sz w:val="19"/>
        </w:rPr>
      </w:pPr>
      <w:r>
        <w:rPr/>
        <w:br w:type="column"/>
      </w:r>
      <w:r>
        <w:rPr>
          <w:rFonts w:ascii="Times New Roman"/>
          <w:sz w:val="19"/>
        </w:rPr>
      </w:r>
    </w:p>
    <w:p>
      <w:pPr>
        <w:pStyle w:val="BodyText"/>
        <w:spacing w:before="12"/>
        <w:rPr>
          <w:rFonts w:ascii="Times New Roman"/>
          <w:sz w:val="19"/>
        </w:rPr>
      </w:pPr>
    </w:p>
    <w:p>
      <w:pPr>
        <w:spacing w:before="0"/>
        <w:ind w:left="74" w:right="0" w:firstLine="0"/>
        <w:jc w:val="left"/>
        <w:rPr>
          <w:rFonts w:ascii="Times New Roman"/>
          <w:position w:val="5"/>
          <w:sz w:val="19"/>
        </w:rPr>
      </w:pPr>
      <w:r>
        <w:rPr>
          <w:rFonts w:ascii="Times New Roman"/>
          <w:sz w:val="19"/>
        </w:rPr>
        <w:t>0,00</w:t>
      </w:r>
      <w:r>
        <w:rPr>
          <w:rFonts w:ascii="Times New Roman"/>
          <w:spacing w:val="39"/>
          <w:sz w:val="19"/>
        </w:rPr>
        <w:t>  </w:t>
      </w:r>
      <w:r>
        <w:rPr>
          <w:rFonts w:ascii="Times New Roman"/>
          <w:spacing w:val="-10"/>
          <w:position w:val="5"/>
          <w:sz w:val="19"/>
        </w:rPr>
        <w:t>%</w:t>
      </w:r>
    </w:p>
    <w:p>
      <w:pPr>
        <w:spacing w:after="0"/>
        <w:jc w:val="left"/>
        <w:rPr>
          <w:rFonts w:ascii="Times New Roman"/>
          <w:position w:val="5"/>
          <w:sz w:val="19"/>
        </w:rPr>
        <w:sectPr>
          <w:type w:val="continuous"/>
          <w:pgSz w:w="13370" w:h="17280"/>
          <w:pgMar w:header="507" w:footer="776" w:top="1120" w:bottom="1160" w:left="1275" w:right="992"/>
          <w:cols w:num="2" w:equalWidth="0">
            <w:col w:w="8778" w:space="418"/>
            <w:col w:w="1907"/>
          </w:cols>
        </w:sectPr>
      </w:pPr>
    </w:p>
    <w:p>
      <w:pPr>
        <w:spacing w:line="200" w:lineRule="exact" w:before="0"/>
        <w:ind w:left="88" w:right="0" w:firstLine="0"/>
        <w:jc w:val="left"/>
        <w:rPr>
          <w:rFonts w:ascii="Times New Roman"/>
          <w:b/>
          <w:sz w:val="18"/>
        </w:rPr>
      </w:pPr>
      <w:r>
        <w:rPr>
          <w:rFonts w:ascii="Times New Roman"/>
          <w:b/>
          <w:sz w:val="18"/>
        </w:rPr>
        <w:t>Resultado</w:t>
      </w:r>
      <w:r>
        <w:rPr>
          <w:rFonts w:ascii="Times New Roman"/>
          <w:b/>
          <w:spacing w:val="-2"/>
          <w:sz w:val="18"/>
        </w:rPr>
        <w:t> </w:t>
      </w:r>
      <w:r>
        <w:rPr>
          <w:rFonts w:ascii="Times New Roman"/>
          <w:b/>
          <w:spacing w:val="-5"/>
          <w:sz w:val="18"/>
        </w:rPr>
        <w:t>PEI</w:t>
      </w:r>
    </w:p>
    <w:p>
      <w:pPr>
        <w:spacing w:before="60"/>
        <w:ind w:left="88" w:right="0" w:firstLine="0"/>
        <w:jc w:val="left"/>
        <w:rPr>
          <w:rFonts w:ascii="Times New Roman"/>
          <w:sz w:val="19"/>
        </w:rPr>
      </w:pPr>
      <w:r>
        <w:rPr/>
        <w:br w:type="column"/>
      </w:r>
      <w:r>
        <w:rPr>
          <w:rFonts w:ascii="Times New Roman"/>
          <w:sz w:val="19"/>
        </w:rPr>
        <w:t>desarrollo</w:t>
      </w:r>
      <w:r>
        <w:rPr>
          <w:rFonts w:ascii="Times New Roman"/>
          <w:spacing w:val="-5"/>
          <w:sz w:val="19"/>
        </w:rPr>
        <w:t> </w:t>
      </w:r>
      <w:r>
        <w:rPr>
          <w:rFonts w:ascii="Times New Roman"/>
          <w:sz w:val="19"/>
        </w:rPr>
        <w:t>de</w:t>
      </w:r>
      <w:r>
        <w:rPr>
          <w:rFonts w:ascii="Times New Roman"/>
          <w:spacing w:val="-7"/>
          <w:sz w:val="19"/>
        </w:rPr>
        <w:t> </w:t>
      </w:r>
      <w:r>
        <w:rPr>
          <w:rFonts w:ascii="Times New Roman"/>
          <w:sz w:val="19"/>
        </w:rPr>
        <w:t>un</w:t>
      </w:r>
      <w:r>
        <w:rPr>
          <w:rFonts w:ascii="Times New Roman"/>
          <w:spacing w:val="-5"/>
          <w:sz w:val="19"/>
        </w:rPr>
        <w:t> </w:t>
      </w:r>
      <w:r>
        <w:rPr>
          <w:rFonts w:ascii="Times New Roman"/>
          <w:sz w:val="19"/>
        </w:rPr>
        <w:t>sistema</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seguimiento</w:t>
      </w:r>
      <w:r>
        <w:rPr>
          <w:rFonts w:ascii="Times New Roman"/>
          <w:spacing w:val="-5"/>
          <w:sz w:val="19"/>
        </w:rPr>
        <w:t> </w:t>
      </w:r>
      <w:r>
        <w:rPr>
          <w:rFonts w:ascii="Times New Roman"/>
          <w:sz w:val="19"/>
        </w:rPr>
        <w:t>y</w:t>
      </w:r>
      <w:r>
        <w:rPr>
          <w:rFonts w:ascii="Times New Roman"/>
          <w:spacing w:val="-5"/>
          <w:sz w:val="19"/>
        </w:rPr>
        <w:t> </w:t>
      </w:r>
      <w:r>
        <w:rPr>
          <w:rFonts w:ascii="Times New Roman"/>
          <w:spacing w:val="-2"/>
          <w:sz w:val="19"/>
        </w:rPr>
        <w:t>control.</w:t>
      </w:r>
    </w:p>
    <w:p>
      <w:pPr>
        <w:spacing w:after="0"/>
        <w:jc w:val="left"/>
        <w:rPr>
          <w:rFonts w:ascii="Times New Roman"/>
          <w:sz w:val="19"/>
        </w:rPr>
        <w:sectPr>
          <w:type w:val="continuous"/>
          <w:pgSz w:w="13370" w:h="17280"/>
          <w:pgMar w:header="507" w:footer="776" w:top="1120" w:bottom="1160" w:left="1275" w:right="992"/>
          <w:cols w:num="2" w:equalWidth="0">
            <w:col w:w="1245" w:space="121"/>
            <w:col w:w="9737"/>
          </w:cols>
        </w:sectPr>
      </w:pPr>
    </w:p>
    <w:p>
      <w:pPr>
        <w:pStyle w:val="Heading4"/>
        <w:tabs>
          <w:tab w:pos="2030" w:val="left" w:leader="none"/>
        </w:tabs>
        <w:spacing w:line="237" w:lineRule="auto"/>
        <w:ind w:right="5189"/>
      </w:pPr>
      <w:r>
        <w:rPr/>
        <mc:AlternateContent>
          <mc:Choice Requires="wps">
            <w:drawing>
              <wp:anchor distT="0" distB="0" distL="0" distR="0" allowOverlap="1" layoutInCell="1" locked="0" behindDoc="0" simplePos="0" relativeHeight="15742976">
                <wp:simplePos x="0" y="0"/>
                <wp:positionH relativeFrom="page">
                  <wp:posOffset>5261030</wp:posOffset>
                </wp:positionH>
                <wp:positionV relativeFrom="paragraph">
                  <wp:posOffset>18237</wp:posOffset>
                </wp:positionV>
                <wp:extent cx="1934210" cy="59817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1934210" cy="598170"/>
                          <a:chExt cx="1934210" cy="598170"/>
                        </a:xfrm>
                      </wpg:grpSpPr>
                      <pic:pic>
                        <pic:nvPicPr>
                          <pic:cNvPr id="58" name="Image 58"/>
                          <pic:cNvPicPr/>
                        </pic:nvPicPr>
                        <pic:blipFill>
                          <a:blip r:embed="rId38" cstate="print"/>
                          <a:stretch>
                            <a:fillRect/>
                          </a:stretch>
                        </pic:blipFill>
                        <pic:spPr>
                          <a:xfrm>
                            <a:off x="0" y="321015"/>
                            <a:ext cx="1934114" cy="276697"/>
                          </a:xfrm>
                          <a:prstGeom prst="rect">
                            <a:avLst/>
                          </a:prstGeom>
                        </pic:spPr>
                      </pic:pic>
                      <wps:wsp>
                        <wps:cNvPr id="59" name="Graphic 59"/>
                        <wps:cNvSpPr/>
                        <wps:spPr>
                          <a:xfrm>
                            <a:off x="910915" y="0"/>
                            <a:ext cx="12700" cy="398145"/>
                          </a:xfrm>
                          <a:custGeom>
                            <a:avLst/>
                            <a:gdLst/>
                            <a:ahLst/>
                            <a:cxnLst/>
                            <a:rect l="l" t="t" r="r" b="b"/>
                            <a:pathLst>
                              <a:path w="12700" h="398145">
                                <a:moveTo>
                                  <a:pt x="3035" y="0"/>
                                </a:moveTo>
                                <a:lnTo>
                                  <a:pt x="0" y="0"/>
                                </a:lnTo>
                                <a:lnTo>
                                  <a:pt x="0" y="398068"/>
                                </a:lnTo>
                                <a:lnTo>
                                  <a:pt x="3035" y="398068"/>
                                </a:lnTo>
                                <a:lnTo>
                                  <a:pt x="3035" y="0"/>
                                </a:lnTo>
                                <a:close/>
                              </a:path>
                              <a:path w="12700" h="398145">
                                <a:moveTo>
                                  <a:pt x="12179" y="0"/>
                                </a:moveTo>
                                <a:lnTo>
                                  <a:pt x="9144" y="0"/>
                                </a:lnTo>
                                <a:lnTo>
                                  <a:pt x="9144" y="398068"/>
                                </a:lnTo>
                                <a:lnTo>
                                  <a:pt x="12179" y="398068"/>
                                </a:lnTo>
                                <a:lnTo>
                                  <a:pt x="12179" y="0"/>
                                </a:lnTo>
                                <a:close/>
                              </a:path>
                            </a:pathLst>
                          </a:custGeom>
                          <a:solidFill>
                            <a:srgbClr val="FFFFFF"/>
                          </a:solidFill>
                        </wps:spPr>
                        <wps:bodyPr wrap="square" lIns="0" tIns="0" rIns="0" bIns="0" rtlCol="0">
                          <a:prstTxWarp prst="textNoShape">
                            <a:avLst/>
                          </a:prstTxWarp>
                          <a:noAutofit/>
                        </wps:bodyPr>
                      </wps:wsp>
                      <wps:wsp>
                        <wps:cNvPr id="60" name="Textbox 60"/>
                        <wps:cNvSpPr txBox="1"/>
                        <wps:spPr>
                          <a:xfrm>
                            <a:off x="0" y="0"/>
                            <a:ext cx="1934210" cy="598170"/>
                          </a:xfrm>
                          <a:prstGeom prst="rect">
                            <a:avLst/>
                          </a:prstGeom>
                        </wps:spPr>
                        <wps:txbx>
                          <w:txbxContent>
                            <w:p>
                              <w:pPr>
                                <w:spacing w:before="1"/>
                                <w:ind w:left="905" w:right="0" w:firstLine="0"/>
                                <w:jc w:val="left"/>
                                <w:rPr>
                                  <w:rFonts w:ascii="Times New Roman"/>
                                  <w:b/>
                                  <w:sz w:val="22"/>
                                </w:rPr>
                              </w:pPr>
                              <w:r>
                                <w:rPr>
                                  <w:rFonts w:ascii="Times New Roman"/>
                                  <w:b/>
                                  <w:sz w:val="22"/>
                                </w:rPr>
                                <w:t>42,27</w:t>
                              </w:r>
                              <w:r>
                                <w:rPr>
                                  <w:rFonts w:ascii="Times New Roman"/>
                                  <w:b/>
                                  <w:spacing w:val="29"/>
                                  <w:sz w:val="22"/>
                                </w:rPr>
                                <w:t> </w:t>
                              </w:r>
                              <w:r>
                                <w:rPr>
                                  <w:rFonts w:ascii="Times New Roman"/>
                                  <w:b/>
                                  <w:spacing w:val="-10"/>
                                  <w:sz w:val="22"/>
                                </w:rPr>
                                <w:t>%</w:t>
                              </w:r>
                            </w:p>
                          </w:txbxContent>
                        </wps:txbx>
                        <wps:bodyPr wrap="square" lIns="0" tIns="0" rIns="0" bIns="0" rtlCol="0">
                          <a:noAutofit/>
                        </wps:bodyPr>
                      </wps:wsp>
                    </wpg:wgp>
                  </a:graphicData>
                </a:graphic>
              </wp:anchor>
            </w:drawing>
          </mc:Choice>
          <mc:Fallback>
            <w:pict>
              <v:group style="position:absolute;margin-left:414.254395pt;margin-top:1.436pt;width:152.3pt;height:47.1pt;mso-position-horizontal-relative:page;mso-position-vertical-relative:paragraph;z-index:15742976" id="docshapegroup30" coordorigin="8285,29" coordsize="3046,942">
                <v:shape style="position:absolute;left:8285;top:534;width:3046;height:436" type="#_x0000_t75" id="docshape31" stroked="false">
                  <v:imagedata r:id="rId38" o:title=""/>
                </v:shape>
                <v:shape style="position:absolute;left:9719;top:28;width:20;height:627" id="docshape32" coordorigin="9720,29" coordsize="20,627" path="m9724,29l9720,29,9720,656,9724,656,9724,29xm9739,29l9734,29,9734,656,9739,656,9739,29xe" filled="true" fillcolor="#ffffff" stroked="false">
                  <v:path arrowok="t"/>
                  <v:fill type="solid"/>
                </v:shape>
                <v:shape style="position:absolute;left:8285;top:28;width:3046;height:942" type="#_x0000_t202" id="docshape33" filled="false" stroked="false">
                  <v:textbox inset="0,0,0,0">
                    <w:txbxContent>
                      <w:p>
                        <w:pPr>
                          <w:spacing w:before="1"/>
                          <w:ind w:left="905" w:right="0" w:firstLine="0"/>
                          <w:jc w:val="left"/>
                          <w:rPr>
                            <w:rFonts w:ascii="Times New Roman"/>
                            <w:b/>
                            <w:sz w:val="22"/>
                          </w:rPr>
                        </w:pPr>
                        <w:r>
                          <w:rPr>
                            <w:rFonts w:ascii="Times New Roman"/>
                            <w:b/>
                            <w:sz w:val="22"/>
                          </w:rPr>
                          <w:t>42,27</w:t>
                        </w:r>
                        <w:r>
                          <w:rPr>
                            <w:rFonts w:ascii="Times New Roman"/>
                            <w:b/>
                            <w:spacing w:val="29"/>
                            <w:sz w:val="22"/>
                          </w:rPr>
                          <w:t> </w:t>
                        </w:r>
                        <w:r>
                          <w:rPr>
                            <w:rFonts w:ascii="Times New Roman"/>
                            <w:b/>
                            <w:spacing w:val="-10"/>
                            <w:sz w:val="22"/>
                          </w:rPr>
                          <w:t>%</w:t>
                        </w:r>
                      </w:p>
                    </w:txbxContent>
                  </v:textbox>
                  <w10:wrap type="none"/>
                </v:shape>
                <w10:wrap type="none"/>
              </v:group>
            </w:pict>
          </mc:Fallback>
        </mc:AlternateContent>
      </w:r>
      <w:r>
        <w:rPr>
          <w:spacing w:val="-4"/>
        </w:rPr>
        <w:t>Eje:</w:t>
      </w:r>
      <w:r>
        <w:rPr/>
        <w:tab/>
        <w:t>3:</w:t>
      </w:r>
      <w:r>
        <w:rPr>
          <w:spacing w:val="-8"/>
        </w:rPr>
        <w:t> </w:t>
      </w:r>
      <w:r>
        <w:rPr/>
        <w:t>Gestión</w:t>
      </w:r>
      <w:r>
        <w:rPr>
          <w:spacing w:val="-6"/>
        </w:rPr>
        <w:t> </w:t>
      </w:r>
      <w:r>
        <w:rPr/>
        <w:t>del</w:t>
      </w:r>
      <w:r>
        <w:rPr>
          <w:spacing w:val="-8"/>
        </w:rPr>
        <w:t> </w:t>
      </w:r>
      <w:r>
        <w:rPr/>
        <w:t>desarrollo</w:t>
      </w:r>
      <w:r>
        <w:rPr>
          <w:spacing w:val="-8"/>
        </w:rPr>
        <w:t> </w:t>
      </w:r>
      <w:r>
        <w:rPr/>
        <w:t>regional</w:t>
      </w:r>
      <w:r>
        <w:rPr>
          <w:spacing w:val="-8"/>
        </w:rPr>
        <w:t> </w:t>
      </w:r>
      <w:r>
        <w:rPr/>
        <w:t>e inversión social territorial</w:t>
      </w:r>
    </w:p>
    <w:p>
      <w:pPr>
        <w:pStyle w:val="BodyText"/>
        <w:spacing w:before="33"/>
        <w:rPr>
          <w:rFonts w:ascii="Times New Roman"/>
          <w:b/>
          <w:sz w:val="19"/>
        </w:rPr>
      </w:pPr>
    </w:p>
    <w:p>
      <w:pPr>
        <w:pStyle w:val="ListParagraph"/>
        <w:numPr>
          <w:ilvl w:val="0"/>
          <w:numId w:val="6"/>
        </w:numPr>
        <w:tabs>
          <w:tab w:pos="426" w:val="left" w:leader="none"/>
        </w:tabs>
        <w:spacing w:line="240" w:lineRule="auto" w:before="0" w:after="0"/>
        <w:ind w:left="426" w:right="0" w:hanging="179"/>
        <w:jc w:val="left"/>
        <w:rPr>
          <w:rFonts w:ascii="Times New Roman"/>
          <w:sz w:val="19"/>
        </w:rPr>
      </w:pP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6"/>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1" simplePos="0" relativeHeight="486299136">
            <wp:simplePos x="0" y="0"/>
            <wp:positionH relativeFrom="page">
              <wp:posOffset>1200791</wp:posOffset>
            </wp:positionH>
            <wp:positionV relativeFrom="paragraph">
              <wp:posOffset>2626128</wp:posOffset>
            </wp:positionV>
            <wp:extent cx="5989374" cy="1409700"/>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9" cstate="print"/>
                    <a:stretch>
                      <a:fillRect/>
                    </a:stretch>
                  </pic:blipFill>
                  <pic:spPr>
                    <a:xfrm>
                      <a:off x="0" y="0"/>
                      <a:ext cx="5989374" cy="1409700"/>
                    </a:xfrm>
                    <a:prstGeom prst="rect">
                      <a:avLst/>
                    </a:prstGeom>
                  </pic:spPr>
                </pic:pic>
              </a:graphicData>
            </a:graphic>
          </wp:anchor>
        </w:drawing>
      </w:r>
      <w:r>
        <w:rPr>
          <w:rFonts w:ascii="Times New Roman" w:hAnsi="Times New Roman"/>
          <w:b/>
          <w:spacing w:val="-4"/>
          <w:sz w:val="18"/>
        </w:rPr>
        <w:t>IMAS</w:t>
      </w:r>
      <w:r>
        <w:rPr>
          <w:rFonts w:ascii="Times New Roman" w:hAnsi="Times New Roman"/>
          <w:b/>
          <w:sz w:val="18"/>
        </w:rPr>
        <w:tab/>
        <w:t>3:</w:t>
      </w:r>
      <w:r>
        <w:rPr>
          <w:rFonts w:ascii="Times New Roman" w:hAnsi="Times New Roman"/>
          <w:b/>
          <w:spacing w:val="-2"/>
          <w:sz w:val="18"/>
        </w:rPr>
        <w:t> </w:t>
      </w:r>
      <w:r>
        <w:rPr>
          <w:rFonts w:ascii="Times New Roman" w:hAnsi="Times New Roman"/>
          <w:b/>
          <w:sz w:val="18"/>
        </w:rPr>
        <w:t>Gestión</w:t>
      </w:r>
      <w:r>
        <w:rPr>
          <w:rFonts w:ascii="Times New Roman" w:hAnsi="Times New Roman"/>
          <w:b/>
          <w:spacing w:val="-2"/>
          <w:sz w:val="18"/>
        </w:rPr>
        <w:t> </w:t>
      </w:r>
      <w:r>
        <w:rPr>
          <w:rFonts w:ascii="Times New Roman" w:hAnsi="Times New Roman"/>
          <w:b/>
          <w:sz w:val="18"/>
        </w:rPr>
        <w:t>del</w:t>
      </w:r>
      <w:r>
        <w:rPr>
          <w:rFonts w:ascii="Times New Roman" w:hAnsi="Times New Roman"/>
          <w:b/>
          <w:spacing w:val="-4"/>
          <w:sz w:val="18"/>
        </w:rPr>
        <w:t> </w:t>
      </w:r>
      <w:r>
        <w:rPr>
          <w:rFonts w:ascii="Times New Roman" w:hAnsi="Times New Roman"/>
          <w:b/>
          <w:sz w:val="18"/>
        </w:rPr>
        <w:t>desarrollo regional</w:t>
      </w:r>
      <w:r>
        <w:rPr>
          <w:rFonts w:ascii="Times New Roman" w:hAnsi="Times New Roman"/>
          <w:b/>
          <w:spacing w:val="-2"/>
          <w:sz w:val="18"/>
        </w:rPr>
        <w:t> </w:t>
      </w:r>
      <w:r>
        <w:rPr>
          <w:rFonts w:ascii="Times New Roman" w:hAnsi="Times New Roman"/>
          <w:b/>
          <w:sz w:val="18"/>
        </w:rPr>
        <w:t>e</w:t>
      </w:r>
      <w:r>
        <w:rPr>
          <w:rFonts w:ascii="Times New Roman" w:hAnsi="Times New Roman"/>
          <w:b/>
          <w:spacing w:val="-3"/>
          <w:sz w:val="18"/>
        </w:rPr>
        <w:t> </w:t>
      </w:r>
      <w:r>
        <w:rPr>
          <w:rFonts w:ascii="Times New Roman" w:hAnsi="Times New Roman"/>
          <w:b/>
          <w:sz w:val="18"/>
        </w:rPr>
        <w:t>inversión</w:t>
      </w:r>
      <w:r>
        <w:rPr>
          <w:rFonts w:ascii="Times New Roman" w:hAnsi="Times New Roman"/>
          <w:b/>
          <w:spacing w:val="-2"/>
          <w:sz w:val="18"/>
        </w:rPr>
        <w:t> </w:t>
      </w:r>
      <w:r>
        <w:rPr>
          <w:rFonts w:ascii="Times New Roman" w:hAnsi="Times New Roman"/>
          <w:b/>
          <w:sz w:val="18"/>
        </w:rPr>
        <w:t>social</w:t>
      </w:r>
      <w:r>
        <w:rPr>
          <w:rFonts w:ascii="Times New Roman" w:hAnsi="Times New Roman"/>
          <w:b/>
          <w:spacing w:val="-1"/>
          <w:sz w:val="18"/>
        </w:rPr>
        <w:t> </w:t>
      </w:r>
      <w:r>
        <w:rPr>
          <w:rFonts w:ascii="Times New Roman" w:hAnsi="Times New Roman"/>
          <w:b/>
          <w:spacing w:val="-2"/>
          <w:sz w:val="18"/>
        </w:rPr>
        <w:t>territorial</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60"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left="6" w:right="983"/>
              <w:jc w:val="center"/>
              <w:rPr>
                <w:sz w:val="19"/>
              </w:rPr>
            </w:pPr>
            <w:r>
              <w:rPr>
                <w:spacing w:val="-5"/>
                <w:sz w:val="19"/>
              </w:rPr>
              <w:t>17</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left="6" w:right="983"/>
              <w:jc w:val="center"/>
              <w:rPr>
                <w:sz w:val="19"/>
              </w:rPr>
            </w:pPr>
            <w:r>
              <w:rPr>
                <w:spacing w:val="-5"/>
                <w:sz w:val="19"/>
              </w:rPr>
              <w:t>10</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0</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right="983"/>
              <w:jc w:val="center"/>
              <w:rPr>
                <w:sz w:val="19"/>
              </w:rPr>
            </w:pPr>
            <w:r>
              <w:rPr>
                <w:spacing w:val="-10"/>
                <w:sz w:val="19"/>
              </w:rPr>
              <w:t>7</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601664">
                <wp:simplePos x="0" y="0"/>
                <wp:positionH relativeFrom="page">
                  <wp:posOffset>1106728</wp:posOffset>
                </wp:positionH>
                <wp:positionV relativeFrom="paragraph">
                  <wp:posOffset>301383</wp:posOffset>
                </wp:positionV>
                <wp:extent cx="6210300" cy="1562735"/>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3097pt;width:489pt;height:123.05pt;mso-position-horizontal-relative:page;mso-position-vertical-relative:paragraph;z-index:-15714816;mso-wrap-distance-left:0;mso-wrap-distance-right:0" id="docshape34"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8"/>
        <w:rPr>
          <w:rFonts w:ascii="Times New Roman"/>
          <w:b/>
          <w:sz w:val="18"/>
        </w:rPr>
      </w:pPr>
    </w:p>
    <w:p>
      <w:pPr>
        <w:spacing w:before="0"/>
        <w:ind w:left="208" w:right="0" w:firstLine="0"/>
        <w:jc w:val="left"/>
        <w:rPr>
          <w:rFonts w:ascii="Times New Roman" w:hAnsi="Times New Roman"/>
          <w:sz w:val="19"/>
        </w:rPr>
      </w:pPr>
      <w:r>
        <w:rPr>
          <w:rFonts w:ascii="Times New Roman" w:hAnsi="Times New Roman"/>
          <w:sz w:val="19"/>
        </w:rPr>
        <w:t>Por</w:t>
      </w:r>
      <w:r>
        <w:rPr>
          <w:rFonts w:ascii="Times New Roman" w:hAnsi="Times New Roman"/>
          <w:spacing w:val="-7"/>
          <w:sz w:val="19"/>
        </w:rPr>
        <w:t> </w:t>
      </w:r>
      <w:r>
        <w:rPr>
          <w:rFonts w:ascii="Times New Roman" w:hAnsi="Times New Roman"/>
          <w:sz w:val="19"/>
        </w:rPr>
        <w:t>otra</w:t>
      </w:r>
      <w:r>
        <w:rPr>
          <w:rFonts w:ascii="Times New Roman" w:hAnsi="Times New Roman"/>
          <w:spacing w:val="-6"/>
          <w:sz w:val="19"/>
        </w:rPr>
        <w:t> </w:t>
      </w:r>
      <w:r>
        <w:rPr>
          <w:rFonts w:ascii="Times New Roman" w:hAnsi="Times New Roman"/>
          <w:sz w:val="19"/>
        </w:rPr>
        <w:t>parte,</w:t>
      </w:r>
      <w:r>
        <w:rPr>
          <w:rFonts w:ascii="Times New Roman" w:hAnsi="Times New Roman"/>
          <w:spacing w:val="-5"/>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5"/>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reportaron</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avance</w:t>
      </w:r>
      <w:r>
        <w:rPr>
          <w:rFonts w:ascii="Times New Roman" w:hAnsi="Times New Roman"/>
          <w:spacing w:val="-6"/>
          <w:sz w:val="19"/>
        </w:rPr>
        <w:t> </w:t>
      </w:r>
      <w:r>
        <w:rPr>
          <w:rFonts w:ascii="Times New Roman" w:hAnsi="Times New Roman"/>
          <w:spacing w:val="-2"/>
          <w:sz w:val="19"/>
        </w:rPr>
        <w:t>crítico.</w:t>
      </w:r>
    </w:p>
    <w:p>
      <w:pPr>
        <w:pStyle w:val="BodyText"/>
        <w:rPr>
          <w:rFonts w:ascii="Times New Roman"/>
          <w:sz w:val="19"/>
        </w:rPr>
      </w:pPr>
    </w:p>
    <w:p>
      <w:pPr>
        <w:pStyle w:val="BodyText"/>
        <w:spacing w:before="64"/>
        <w:rPr>
          <w:rFonts w:ascii="Times New Roman"/>
          <w:sz w:val="19"/>
        </w:rPr>
      </w:pPr>
    </w:p>
    <w:p>
      <w:pPr>
        <w:spacing w:before="0"/>
        <w:ind w:left="208"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0" simplePos="0" relativeHeight="15744000">
            <wp:simplePos x="0" y="0"/>
            <wp:positionH relativeFrom="page">
              <wp:posOffset>7333615</wp:posOffset>
            </wp:positionH>
            <wp:positionV relativeFrom="paragraph">
              <wp:posOffset>323955</wp:posOffset>
            </wp:positionV>
            <wp:extent cx="199390" cy="162559"/>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34" cstate="print"/>
                    <a:stretch>
                      <a:fillRect/>
                    </a:stretch>
                  </pic:blipFill>
                  <pic:spPr>
                    <a:xfrm>
                      <a:off x="0" y="0"/>
                      <a:ext cx="199390" cy="162559"/>
                    </a:xfrm>
                    <a:prstGeom prst="rect">
                      <a:avLst/>
                    </a:prstGeom>
                  </pic:spPr>
                </pic:pic>
              </a:graphicData>
            </a:graphic>
          </wp:anchor>
        </w:drawing>
      </w:r>
      <w:r>
        <w:rPr>
          <w:rFonts w:ascii="Times New Roman" w:hAnsi="Times New Roman"/>
          <w:b/>
          <w:sz w:val="18"/>
        </w:rPr>
        <w:t>Detalle</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metas</w:t>
      </w:r>
      <w:r>
        <w:rPr>
          <w:rFonts w:ascii="Times New Roman" w:hAnsi="Times New Roman"/>
          <w:b/>
          <w:spacing w:val="-1"/>
          <w:sz w:val="18"/>
        </w:rPr>
        <w:t> </w:t>
      </w:r>
      <w:r>
        <w:rPr>
          <w:rFonts w:ascii="Times New Roman" w:hAnsi="Times New Roman"/>
          <w:b/>
          <w:sz w:val="18"/>
        </w:rPr>
        <w:t>con</w:t>
      </w:r>
      <w:r>
        <w:rPr>
          <w:rFonts w:ascii="Times New Roman" w:hAnsi="Times New Roman"/>
          <w:b/>
          <w:spacing w:val="-3"/>
          <w:sz w:val="18"/>
        </w:rPr>
        <w:t> </w:t>
      </w:r>
      <w:r>
        <w:rPr>
          <w:rFonts w:ascii="Times New Roman" w:hAnsi="Times New Roman"/>
          <w:b/>
          <w:sz w:val="18"/>
        </w:rPr>
        <w:t>avance</w:t>
      </w:r>
      <w:r>
        <w:rPr>
          <w:rFonts w:ascii="Times New Roman" w:hAnsi="Times New Roman"/>
          <w:b/>
          <w:spacing w:val="-1"/>
          <w:sz w:val="18"/>
        </w:rPr>
        <w:t> </w:t>
      </w:r>
      <w:r>
        <w:rPr>
          <w:rFonts w:ascii="Times New Roman" w:hAnsi="Times New Roman"/>
          <w:b/>
          <w:spacing w:val="-2"/>
          <w:sz w:val="18"/>
        </w:rPr>
        <w:t>crítico</w:t>
      </w:r>
    </w:p>
    <w:p>
      <w:pPr>
        <w:pStyle w:val="BodyText"/>
        <w:spacing w:before="5"/>
        <w:rPr>
          <w:rFonts w:ascii="Times New Roman"/>
          <w:b/>
          <w:sz w:val="18"/>
        </w:rPr>
      </w:pPr>
    </w:p>
    <w:p>
      <w:pPr>
        <w:pStyle w:val="BodyText"/>
        <w:spacing w:after="0"/>
        <w:rPr>
          <w:rFonts w:ascii="Times New Roman"/>
          <w:b/>
          <w:sz w:val="18"/>
        </w:rPr>
        <w:sectPr>
          <w:pgSz w:w="13370" w:h="17280"/>
          <w:pgMar w:header="507" w:footer="776" w:top="1340" w:bottom="960" w:left="1275" w:right="992"/>
        </w:sectPr>
      </w:pPr>
    </w:p>
    <w:p>
      <w:pPr>
        <w:spacing w:before="92"/>
        <w:ind w:left="1648" w:right="38" w:hanging="1440"/>
        <w:jc w:val="both"/>
        <w:rPr>
          <w:rFonts w:ascii="Times New Roman" w:hAnsi="Times New Roman"/>
          <w:sz w:val="19"/>
        </w:rPr>
      </w:pPr>
      <w:r>
        <w:rPr>
          <w:rFonts w:ascii="Times New Roman" w:hAnsi="Times New Roman"/>
          <w:b/>
          <w:position w:val="1"/>
          <w:sz w:val="18"/>
        </w:rPr>
        <w:t>Resultado</w:t>
      </w:r>
      <w:r>
        <w:rPr>
          <w:rFonts w:ascii="Times New Roman" w:hAnsi="Times New Roman"/>
          <w:b/>
          <w:spacing w:val="-4"/>
          <w:position w:val="1"/>
          <w:sz w:val="18"/>
        </w:rPr>
        <w:t> </w:t>
      </w:r>
      <w:r>
        <w:rPr>
          <w:rFonts w:ascii="Times New Roman" w:hAnsi="Times New Roman"/>
          <w:b/>
          <w:position w:val="1"/>
          <w:sz w:val="18"/>
        </w:rPr>
        <w:t>PEI</w:t>
      </w:r>
      <w:r>
        <w:rPr>
          <w:rFonts w:ascii="Times New Roman" w:hAnsi="Times New Roman"/>
          <w:b/>
          <w:spacing w:val="80"/>
          <w:position w:val="1"/>
          <w:sz w:val="18"/>
        </w:rPr>
        <w:t>  </w:t>
      </w:r>
      <w:r>
        <w:rPr>
          <w:rFonts w:ascii="Times New Roman" w:hAnsi="Times New Roman"/>
          <w:sz w:val="19"/>
        </w:rPr>
        <w:t>3.1.1 Estrategia de participación ciudadana diseñada, homologada, y oficializada que implique</w:t>
      </w:r>
      <w:r>
        <w:rPr>
          <w:rFonts w:ascii="Times New Roman" w:hAnsi="Times New Roman"/>
          <w:spacing w:val="80"/>
          <w:sz w:val="19"/>
        </w:rPr>
        <w:t> </w:t>
      </w:r>
      <w:r>
        <w:rPr>
          <w:rFonts w:ascii="Times New Roman" w:hAnsi="Times New Roman"/>
          <w:sz w:val="19"/>
        </w:rPr>
        <w:t>la</w:t>
      </w:r>
      <w:r>
        <w:rPr>
          <w:rFonts w:ascii="Times New Roman" w:hAnsi="Times New Roman"/>
          <w:spacing w:val="-3"/>
          <w:sz w:val="19"/>
        </w:rPr>
        <w:t> </w:t>
      </w:r>
      <w:r>
        <w:rPr>
          <w:rFonts w:ascii="Times New Roman" w:hAnsi="Times New Roman"/>
          <w:sz w:val="19"/>
        </w:rPr>
        <w:t>rendición</w:t>
      </w:r>
      <w:r>
        <w:rPr>
          <w:rFonts w:ascii="Times New Roman" w:hAnsi="Times New Roman"/>
          <w:spacing w:val="-1"/>
          <w:sz w:val="19"/>
        </w:rPr>
        <w:t> </w:t>
      </w:r>
      <w:r>
        <w:rPr>
          <w:rFonts w:ascii="Times New Roman" w:hAnsi="Times New Roman"/>
          <w:sz w:val="19"/>
        </w:rPr>
        <w:t>de</w:t>
      </w:r>
      <w:r>
        <w:rPr>
          <w:rFonts w:ascii="Times New Roman" w:hAnsi="Times New Roman"/>
          <w:spacing w:val="-3"/>
          <w:sz w:val="19"/>
        </w:rPr>
        <w:t> </w:t>
      </w:r>
      <w:r>
        <w:rPr>
          <w:rFonts w:ascii="Times New Roman" w:hAnsi="Times New Roman"/>
          <w:sz w:val="19"/>
        </w:rPr>
        <w:t>cuentas</w:t>
      </w:r>
      <w:r>
        <w:rPr>
          <w:rFonts w:ascii="Times New Roman" w:hAnsi="Times New Roman"/>
          <w:spacing w:val="-2"/>
          <w:sz w:val="19"/>
        </w:rPr>
        <w:t> </w:t>
      </w:r>
      <w:r>
        <w:rPr>
          <w:rFonts w:ascii="Times New Roman" w:hAnsi="Times New Roman"/>
          <w:sz w:val="19"/>
        </w:rPr>
        <w:t>y</w:t>
      </w:r>
      <w:r>
        <w:rPr>
          <w:rFonts w:ascii="Times New Roman" w:hAnsi="Times New Roman"/>
          <w:spacing w:val="-1"/>
          <w:sz w:val="19"/>
        </w:rPr>
        <w:t> </w:t>
      </w:r>
      <w:r>
        <w:rPr>
          <w:rFonts w:ascii="Times New Roman" w:hAnsi="Times New Roman"/>
          <w:sz w:val="19"/>
        </w:rPr>
        <w:t>consulta</w:t>
      </w:r>
      <w:r>
        <w:rPr>
          <w:rFonts w:ascii="Times New Roman" w:hAnsi="Times New Roman"/>
          <w:spacing w:val="-3"/>
          <w:sz w:val="19"/>
        </w:rPr>
        <w:t> </w:t>
      </w:r>
      <w:r>
        <w:rPr>
          <w:rFonts w:ascii="Times New Roman" w:hAnsi="Times New Roman"/>
          <w:sz w:val="19"/>
        </w:rPr>
        <w:t>a</w:t>
      </w:r>
      <w:r>
        <w:rPr>
          <w:rFonts w:ascii="Times New Roman" w:hAnsi="Times New Roman"/>
          <w:spacing w:val="-2"/>
          <w:sz w:val="19"/>
        </w:rPr>
        <w:t> </w:t>
      </w:r>
      <w:r>
        <w:rPr>
          <w:rFonts w:ascii="Times New Roman" w:hAnsi="Times New Roman"/>
          <w:sz w:val="19"/>
        </w:rPr>
        <w:t>la</w:t>
      </w:r>
      <w:r>
        <w:rPr>
          <w:rFonts w:ascii="Times New Roman" w:hAnsi="Times New Roman"/>
          <w:spacing w:val="-3"/>
          <w:sz w:val="19"/>
        </w:rPr>
        <w:t> </w:t>
      </w:r>
      <w:r>
        <w:rPr>
          <w:rFonts w:ascii="Times New Roman" w:hAnsi="Times New Roman"/>
          <w:sz w:val="19"/>
        </w:rPr>
        <w:t>población</w:t>
      </w:r>
      <w:r>
        <w:rPr>
          <w:rFonts w:ascii="Times New Roman" w:hAnsi="Times New Roman"/>
          <w:spacing w:val="-3"/>
          <w:sz w:val="19"/>
        </w:rPr>
        <w:t> </w:t>
      </w:r>
      <w:r>
        <w:rPr>
          <w:rFonts w:ascii="Times New Roman" w:hAnsi="Times New Roman"/>
          <w:sz w:val="19"/>
        </w:rPr>
        <w:t>objetivo</w:t>
      </w:r>
      <w:r>
        <w:rPr>
          <w:rFonts w:ascii="Times New Roman" w:hAnsi="Times New Roman"/>
          <w:spacing w:val="-1"/>
          <w:sz w:val="19"/>
        </w:rPr>
        <w:t> </w:t>
      </w:r>
      <w:r>
        <w:rPr>
          <w:rFonts w:ascii="Times New Roman" w:hAnsi="Times New Roman"/>
          <w:sz w:val="19"/>
        </w:rPr>
        <w:t>a</w:t>
      </w:r>
      <w:r>
        <w:rPr>
          <w:rFonts w:ascii="Times New Roman" w:hAnsi="Times New Roman"/>
          <w:spacing w:val="-3"/>
          <w:sz w:val="19"/>
        </w:rPr>
        <w:t> </w:t>
      </w:r>
      <w:r>
        <w:rPr>
          <w:rFonts w:ascii="Times New Roman" w:hAnsi="Times New Roman"/>
          <w:sz w:val="19"/>
        </w:rPr>
        <w:t>fin</w:t>
      </w:r>
      <w:r>
        <w:rPr>
          <w:rFonts w:ascii="Times New Roman" w:hAnsi="Times New Roman"/>
          <w:spacing w:val="-4"/>
          <w:sz w:val="19"/>
        </w:rPr>
        <w:t> </w:t>
      </w:r>
      <w:r>
        <w:rPr>
          <w:rFonts w:ascii="Times New Roman" w:hAnsi="Times New Roman"/>
          <w:sz w:val="19"/>
        </w:rPr>
        <w:t>de</w:t>
      </w:r>
      <w:r>
        <w:rPr>
          <w:rFonts w:ascii="Times New Roman" w:hAnsi="Times New Roman"/>
          <w:spacing w:val="-3"/>
          <w:sz w:val="19"/>
        </w:rPr>
        <w:t> </w:t>
      </w:r>
      <w:r>
        <w:rPr>
          <w:rFonts w:ascii="Times New Roman" w:hAnsi="Times New Roman"/>
          <w:sz w:val="19"/>
        </w:rPr>
        <w:t>procurar</w:t>
      </w:r>
      <w:r>
        <w:rPr>
          <w:rFonts w:ascii="Times New Roman" w:hAnsi="Times New Roman"/>
          <w:spacing w:val="-3"/>
          <w:sz w:val="19"/>
        </w:rPr>
        <w:t> </w:t>
      </w:r>
      <w:r>
        <w:rPr>
          <w:rFonts w:ascii="Times New Roman" w:hAnsi="Times New Roman"/>
          <w:sz w:val="19"/>
        </w:rPr>
        <w:t>la</w:t>
      </w:r>
      <w:r>
        <w:rPr>
          <w:rFonts w:ascii="Times New Roman" w:hAnsi="Times New Roman"/>
          <w:spacing w:val="-3"/>
          <w:sz w:val="19"/>
        </w:rPr>
        <w:t> </w:t>
      </w:r>
      <w:r>
        <w:rPr>
          <w:rFonts w:ascii="Times New Roman" w:hAnsi="Times New Roman"/>
          <w:sz w:val="19"/>
        </w:rPr>
        <w:t>transparencia</w:t>
      </w:r>
      <w:r>
        <w:rPr>
          <w:rFonts w:ascii="Times New Roman" w:hAnsi="Times New Roman"/>
          <w:spacing w:val="-3"/>
          <w:sz w:val="19"/>
        </w:rPr>
        <w:t> </w:t>
      </w:r>
      <w:r>
        <w:rPr>
          <w:rFonts w:ascii="Times New Roman" w:hAnsi="Times New Roman"/>
          <w:sz w:val="19"/>
        </w:rPr>
        <w:t>en</w:t>
      </w:r>
      <w:r>
        <w:rPr>
          <w:rFonts w:ascii="Times New Roman" w:hAnsi="Times New Roman"/>
          <w:spacing w:val="-1"/>
          <w:sz w:val="19"/>
        </w:rPr>
        <w:t> </w:t>
      </w:r>
      <w:r>
        <w:rPr>
          <w:rFonts w:ascii="Times New Roman" w:hAnsi="Times New Roman"/>
          <w:sz w:val="19"/>
        </w:rPr>
        <w:t>la gestión institucional</w:t>
      </w:r>
    </w:p>
    <w:p>
      <w:pPr>
        <w:spacing w:before="93"/>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3" w:space="238"/>
            <w:col w:w="1862"/>
          </w:cols>
        </w:sectPr>
      </w:pPr>
    </w:p>
    <w:p>
      <w:pPr>
        <w:pStyle w:val="BodyText"/>
        <w:spacing w:before="4"/>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spacing w:line="242" w:lineRule="auto"/>
              <w:ind w:left="42" w:right="43"/>
              <w:jc w:val="both"/>
              <w:rPr>
                <w:sz w:val="19"/>
              </w:rPr>
            </w:pPr>
            <w:r>
              <w:rPr>
                <w:sz w:val="19"/>
              </w:rPr>
              <w:t>PPPS 1.11.1: Elaboración y aprobación de estrategia de consulta ciudadana y rendición de </w:t>
            </w:r>
            <w:r>
              <w:rPr>
                <w:spacing w:val="-2"/>
                <w:sz w:val="19"/>
              </w:rPr>
              <w:t>cuentas</w:t>
            </w:r>
          </w:p>
        </w:tc>
        <w:tc>
          <w:tcPr>
            <w:tcW w:w="4726" w:type="dxa"/>
            <w:tcBorders>
              <w:top w:val="single" w:sz="12" w:space="0" w:color="000000"/>
            </w:tcBorders>
          </w:tcPr>
          <w:p>
            <w:pPr>
              <w:pStyle w:val="TableParagraph"/>
              <w:ind w:left="45" w:right="44"/>
              <w:jc w:val="both"/>
              <w:rPr>
                <w:sz w:val="19"/>
              </w:rPr>
            </w:pPr>
            <w:r>
              <w:rPr>
                <w:sz w:val="19"/>
              </w:rPr>
              <w:t>El proceso de coordinación con Planificación Institucional ha</w:t>
            </w:r>
            <w:r>
              <w:rPr>
                <w:spacing w:val="-2"/>
                <w:sz w:val="19"/>
              </w:rPr>
              <w:t> </w:t>
            </w:r>
            <w:r>
              <w:rPr>
                <w:sz w:val="19"/>
              </w:rPr>
              <w:t>tomado</w:t>
            </w:r>
            <w:r>
              <w:rPr>
                <w:spacing w:val="-1"/>
                <w:sz w:val="19"/>
              </w:rPr>
              <w:t> </w:t>
            </w:r>
            <w:r>
              <w:rPr>
                <w:sz w:val="19"/>
              </w:rPr>
              <w:t>mayor</w:t>
            </w:r>
            <w:r>
              <w:rPr>
                <w:spacing w:val="-3"/>
                <w:sz w:val="19"/>
              </w:rPr>
              <w:t> </w:t>
            </w:r>
            <w:r>
              <w:rPr>
                <w:sz w:val="19"/>
              </w:rPr>
              <w:t>tiempo</w:t>
            </w:r>
            <w:r>
              <w:rPr>
                <w:spacing w:val="-1"/>
                <w:sz w:val="19"/>
              </w:rPr>
              <w:t> </w:t>
            </w:r>
            <w:r>
              <w:rPr>
                <w:sz w:val="19"/>
              </w:rPr>
              <w:t>del</w:t>
            </w:r>
            <w:r>
              <w:rPr>
                <w:spacing w:val="-2"/>
                <w:sz w:val="19"/>
              </w:rPr>
              <w:t> </w:t>
            </w:r>
            <w:r>
              <w:rPr>
                <w:sz w:val="19"/>
              </w:rPr>
              <w:t>esperado,</w:t>
            </w:r>
            <w:r>
              <w:rPr>
                <w:spacing w:val="-1"/>
                <w:sz w:val="19"/>
              </w:rPr>
              <w:t> </w:t>
            </w:r>
            <w:r>
              <w:rPr>
                <w:sz w:val="19"/>
              </w:rPr>
              <w:t>lo</w:t>
            </w:r>
            <w:r>
              <w:rPr>
                <w:spacing w:val="-3"/>
                <w:sz w:val="19"/>
              </w:rPr>
              <w:t> </w:t>
            </w:r>
            <w:r>
              <w:rPr>
                <w:sz w:val="19"/>
              </w:rPr>
              <w:t>que</w:t>
            </w:r>
            <w:r>
              <w:rPr>
                <w:spacing w:val="-5"/>
                <w:sz w:val="19"/>
              </w:rPr>
              <w:t> </w:t>
            </w:r>
            <w:r>
              <w:rPr>
                <w:sz w:val="19"/>
              </w:rPr>
              <w:t>ha</w:t>
            </w:r>
            <w:r>
              <w:rPr>
                <w:spacing w:val="-2"/>
                <w:sz w:val="19"/>
              </w:rPr>
              <w:t> </w:t>
            </w:r>
            <w:r>
              <w:rPr>
                <w:sz w:val="19"/>
              </w:rPr>
              <w:t>incidido</w:t>
            </w:r>
            <w:r>
              <w:rPr>
                <w:spacing w:val="-1"/>
                <w:sz w:val="19"/>
              </w:rPr>
              <w:t> </w:t>
            </w:r>
            <w:r>
              <w:rPr>
                <w:sz w:val="19"/>
              </w:rPr>
              <w:t>en no lograr concretar los productos vinculados a esta</w:t>
            </w:r>
            <w:r>
              <w:rPr>
                <w:spacing w:val="40"/>
                <w:sz w:val="19"/>
              </w:rPr>
              <w:t> </w:t>
            </w:r>
            <w:r>
              <w:rPr>
                <w:spacing w:val="-2"/>
                <w:sz w:val="19"/>
              </w:rPr>
              <w:t>actividad.</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before="81"/>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44512">
            <wp:simplePos x="0" y="0"/>
            <wp:positionH relativeFrom="page">
              <wp:posOffset>7333615</wp:posOffset>
            </wp:positionH>
            <wp:positionV relativeFrom="paragraph">
              <wp:posOffset>50550</wp:posOffset>
            </wp:positionV>
            <wp:extent cx="199390" cy="163195"/>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34" cstate="print"/>
                    <a:stretch>
                      <a:fillRect/>
                    </a:stretch>
                  </pic:blipFill>
                  <pic:spPr>
                    <a:xfrm>
                      <a:off x="0" y="0"/>
                      <a:ext cx="199390" cy="163195"/>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3.1.2</w:t>
      </w:r>
      <w:r>
        <w:rPr>
          <w:rFonts w:ascii="Times New Roman" w:hAnsi="Times New Roman"/>
          <w:spacing w:val="-3"/>
          <w:sz w:val="19"/>
        </w:rPr>
        <w:t> </w:t>
      </w:r>
      <w:r>
        <w:rPr>
          <w:rFonts w:ascii="Times New Roman" w:hAnsi="Times New Roman"/>
          <w:sz w:val="19"/>
        </w:rPr>
        <w:t>Planes</w:t>
      </w:r>
      <w:r>
        <w:rPr>
          <w:rFonts w:ascii="Times New Roman" w:hAnsi="Times New Roman"/>
          <w:spacing w:val="-4"/>
          <w:sz w:val="19"/>
        </w:rPr>
        <w:t> </w:t>
      </w:r>
      <w:r>
        <w:rPr>
          <w:rFonts w:ascii="Times New Roman" w:hAnsi="Times New Roman"/>
          <w:sz w:val="19"/>
        </w:rPr>
        <w:t>institucionales</w:t>
      </w:r>
      <w:r>
        <w:rPr>
          <w:rFonts w:ascii="Times New Roman" w:hAnsi="Times New Roman"/>
          <w:spacing w:val="-4"/>
          <w:sz w:val="19"/>
        </w:rPr>
        <w:t> </w:t>
      </w:r>
      <w:r>
        <w:rPr>
          <w:rFonts w:ascii="Times New Roman" w:hAnsi="Times New Roman"/>
          <w:sz w:val="19"/>
        </w:rPr>
        <w:t>formulados</w:t>
      </w:r>
      <w:r>
        <w:rPr>
          <w:rFonts w:ascii="Times New Roman" w:hAnsi="Times New Roman"/>
          <w:spacing w:val="-4"/>
          <w:sz w:val="19"/>
        </w:rPr>
        <w:t> </w:t>
      </w:r>
      <w:r>
        <w:rPr>
          <w:rFonts w:ascii="Times New Roman" w:hAnsi="Times New Roman"/>
          <w:sz w:val="19"/>
        </w:rPr>
        <w:t>considerando</w:t>
      </w:r>
      <w:r>
        <w:rPr>
          <w:rFonts w:ascii="Times New Roman" w:hAnsi="Times New Roman"/>
          <w:spacing w:val="-3"/>
          <w:sz w:val="19"/>
        </w:rPr>
        <w:t> </w:t>
      </w:r>
      <w:r>
        <w:rPr>
          <w:rFonts w:ascii="Times New Roman" w:hAnsi="Times New Roman"/>
          <w:sz w:val="19"/>
        </w:rPr>
        <w:t>los</w:t>
      </w:r>
      <w:r>
        <w:rPr>
          <w:rFonts w:ascii="Times New Roman" w:hAnsi="Times New Roman"/>
          <w:spacing w:val="-4"/>
          <w:sz w:val="19"/>
        </w:rPr>
        <w:t> </w:t>
      </w:r>
      <w:r>
        <w:rPr>
          <w:rFonts w:ascii="Times New Roman" w:hAnsi="Times New Roman"/>
          <w:sz w:val="19"/>
        </w:rPr>
        <w:t>insumos</w:t>
      </w:r>
      <w:r>
        <w:rPr>
          <w:rFonts w:ascii="Times New Roman" w:hAnsi="Times New Roman"/>
          <w:spacing w:val="-4"/>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las</w:t>
      </w:r>
      <w:r>
        <w:rPr>
          <w:rFonts w:ascii="Times New Roman" w:hAnsi="Times New Roman"/>
          <w:spacing w:val="-3"/>
          <w:sz w:val="19"/>
        </w:rPr>
        <w:t> </w:t>
      </w:r>
      <w:r>
        <w:rPr>
          <w:rFonts w:ascii="Times New Roman" w:hAnsi="Times New Roman"/>
          <w:sz w:val="19"/>
        </w:rPr>
        <w:t>rendiciones</w:t>
      </w:r>
      <w:r>
        <w:rPr>
          <w:rFonts w:ascii="Times New Roman" w:hAnsi="Times New Roman"/>
          <w:spacing w:val="-4"/>
          <w:sz w:val="19"/>
        </w:rPr>
        <w:t> </w:t>
      </w:r>
      <w:r>
        <w:rPr>
          <w:rFonts w:ascii="Times New Roman" w:hAnsi="Times New Roman"/>
          <w:sz w:val="19"/>
        </w:rPr>
        <w:t>de</w:t>
      </w:r>
      <w:r>
        <w:rPr>
          <w:rFonts w:ascii="Times New Roman" w:hAnsi="Times New Roman"/>
          <w:spacing w:val="-5"/>
          <w:sz w:val="19"/>
        </w:rPr>
        <w:t> </w:t>
      </w:r>
      <w:r>
        <w:rPr>
          <w:rFonts w:ascii="Times New Roman" w:hAnsi="Times New Roman"/>
          <w:sz w:val="19"/>
        </w:rPr>
        <w:t>cuenta</w:t>
      </w:r>
      <w:r>
        <w:rPr>
          <w:rFonts w:ascii="Times New Roman" w:hAnsi="Times New Roman"/>
          <w:spacing w:val="-5"/>
          <w:sz w:val="19"/>
        </w:rPr>
        <w:t> </w:t>
      </w:r>
      <w:r>
        <w:rPr>
          <w:rFonts w:ascii="Times New Roman" w:hAnsi="Times New Roman"/>
          <w:sz w:val="19"/>
        </w:rPr>
        <w:t>y consultas a la población objetivo</w:t>
      </w:r>
    </w:p>
    <w:p>
      <w:pPr>
        <w:spacing w:before="82"/>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1" w:space="240"/>
            <w:col w:w="1862"/>
          </w:cols>
        </w:sectPr>
      </w:pPr>
    </w:p>
    <w:p>
      <w:pPr>
        <w:pStyle w:val="BodyText"/>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99"/>
        <w:gridCol w:w="4035"/>
        <w:gridCol w:w="4728"/>
      </w:tblGrid>
      <w:tr>
        <w:trPr>
          <w:trHeight w:val="330" w:hRule="atLeast"/>
        </w:trPr>
        <w:tc>
          <w:tcPr>
            <w:tcW w:w="1699" w:type="dxa"/>
            <w:tcBorders>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5" w:type="dxa"/>
            <w:tcBorders>
              <w:left w:val="single" w:sz="2" w:space="0" w:color="000000"/>
              <w:right w:val="single" w:sz="2" w:space="0" w:color="000000"/>
            </w:tcBorders>
            <w:shd w:val="clear" w:color="auto" w:fill="E4E4E4"/>
          </w:tcPr>
          <w:p>
            <w:pPr>
              <w:pStyle w:val="TableParagraph"/>
              <w:spacing w:line="207" w:lineRule="exact"/>
              <w:ind w:left="15"/>
              <w:jc w:val="center"/>
              <w:rPr>
                <w:b/>
                <w:sz w:val="18"/>
              </w:rPr>
            </w:pPr>
            <w:r>
              <w:rPr>
                <w:b/>
                <w:sz w:val="18"/>
              </w:rPr>
              <w:t>Actividad</w:t>
            </w:r>
            <w:r>
              <w:rPr>
                <w:b/>
                <w:spacing w:val="-5"/>
                <w:sz w:val="18"/>
              </w:rPr>
              <w:t> POI</w:t>
            </w:r>
          </w:p>
        </w:tc>
        <w:tc>
          <w:tcPr>
            <w:tcW w:w="4728" w:type="dxa"/>
            <w:tcBorders>
              <w:left w:val="single" w:sz="2" w:space="0" w:color="000000"/>
            </w:tcBorders>
            <w:shd w:val="clear" w:color="auto" w:fill="E4E4E4"/>
          </w:tcPr>
          <w:p>
            <w:pPr>
              <w:pStyle w:val="TableParagraph"/>
              <w:spacing w:line="207" w:lineRule="exact"/>
              <w:ind w:left="16"/>
              <w:jc w:val="center"/>
              <w:rPr>
                <w:b/>
                <w:sz w:val="18"/>
              </w:rPr>
            </w:pPr>
            <w:r>
              <w:rPr>
                <w:b/>
                <w:spacing w:val="-2"/>
                <w:sz w:val="18"/>
              </w:rPr>
              <w:t>Justificación</w:t>
            </w:r>
          </w:p>
        </w:tc>
      </w:tr>
    </w:tbl>
    <w:p>
      <w:pPr>
        <w:pStyle w:val="TableParagraph"/>
        <w:spacing w:after="0" w:line="207" w:lineRule="exact"/>
        <w:jc w:val="center"/>
        <w:rPr>
          <w:b/>
          <w:sz w:val="18"/>
        </w:rPr>
        <w:sectPr>
          <w:type w:val="continuous"/>
          <w:pgSz w:w="13370" w:h="17280"/>
          <w:pgMar w:header="507" w:footer="776" w:top="1120" w:bottom="1160" w:left="1275" w:right="992"/>
        </w:sectPr>
      </w:pPr>
    </w:p>
    <w:p>
      <w:pPr>
        <w:pStyle w:val="BodyText"/>
        <w:spacing w:before="5"/>
        <w:rPr>
          <w:rFonts w:ascii="Times New Roman"/>
          <w:sz w:val="2"/>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926" w:hRule="atLeast"/>
        </w:trPr>
        <w:tc>
          <w:tcPr>
            <w:tcW w:w="1709" w:type="dxa"/>
          </w:tcPr>
          <w:p>
            <w:pPr>
              <w:pStyle w:val="TableParagraph"/>
              <w:spacing w:before="2"/>
              <w:ind w:left="54"/>
              <w:rPr>
                <w:sz w:val="19"/>
              </w:rPr>
            </w:pPr>
            <w:r>
              <w:rPr>
                <w:spacing w:val="-4"/>
                <w:sz w:val="19"/>
              </w:rPr>
              <w:t>2024</w:t>
            </w:r>
          </w:p>
        </w:tc>
        <w:tc>
          <w:tcPr>
            <w:tcW w:w="4028" w:type="dxa"/>
          </w:tcPr>
          <w:p>
            <w:pPr>
              <w:pStyle w:val="TableParagraph"/>
              <w:ind w:left="42" w:right="39"/>
              <w:jc w:val="both"/>
              <w:rPr>
                <w:sz w:val="19"/>
              </w:rPr>
            </w:pPr>
            <w:r>
              <w:rPr>
                <w:sz w:val="19"/>
              </w:rPr>
              <w:t>PPPS 1.12.1: Elaboración de formato homologado para la elaboración de planes regionales, que incluya la incorporación de resultados de consulta ciudadana y rendición de cuentas</w:t>
            </w:r>
          </w:p>
        </w:tc>
        <w:tc>
          <w:tcPr>
            <w:tcW w:w="4726" w:type="dxa"/>
          </w:tcPr>
          <w:p>
            <w:pPr>
              <w:pStyle w:val="TableParagraph"/>
              <w:ind w:left="47" w:right="42"/>
              <w:jc w:val="both"/>
              <w:rPr>
                <w:sz w:val="19"/>
              </w:rPr>
            </w:pPr>
            <w:r>
              <w:rPr>
                <w:sz w:val="19"/>
              </w:rPr>
              <w:t>El proceso de coordinación con Planificación Institucional ha</w:t>
            </w:r>
            <w:r>
              <w:rPr>
                <w:spacing w:val="-2"/>
                <w:sz w:val="19"/>
              </w:rPr>
              <w:t> </w:t>
            </w:r>
            <w:r>
              <w:rPr>
                <w:sz w:val="19"/>
              </w:rPr>
              <w:t>tomado</w:t>
            </w:r>
            <w:r>
              <w:rPr>
                <w:spacing w:val="-1"/>
                <w:sz w:val="19"/>
              </w:rPr>
              <w:t> </w:t>
            </w:r>
            <w:r>
              <w:rPr>
                <w:sz w:val="19"/>
              </w:rPr>
              <w:t>mayor</w:t>
            </w:r>
            <w:r>
              <w:rPr>
                <w:spacing w:val="-3"/>
                <w:sz w:val="19"/>
              </w:rPr>
              <w:t> </w:t>
            </w:r>
            <w:r>
              <w:rPr>
                <w:sz w:val="19"/>
              </w:rPr>
              <w:t>tiempo</w:t>
            </w:r>
            <w:r>
              <w:rPr>
                <w:spacing w:val="-1"/>
                <w:sz w:val="19"/>
              </w:rPr>
              <w:t> </w:t>
            </w:r>
            <w:r>
              <w:rPr>
                <w:sz w:val="19"/>
              </w:rPr>
              <w:t>del</w:t>
            </w:r>
            <w:r>
              <w:rPr>
                <w:spacing w:val="-2"/>
                <w:sz w:val="19"/>
              </w:rPr>
              <w:t> </w:t>
            </w:r>
            <w:r>
              <w:rPr>
                <w:sz w:val="19"/>
              </w:rPr>
              <w:t>esperado,</w:t>
            </w:r>
            <w:r>
              <w:rPr>
                <w:spacing w:val="-1"/>
                <w:sz w:val="19"/>
              </w:rPr>
              <w:t> </w:t>
            </w:r>
            <w:r>
              <w:rPr>
                <w:sz w:val="19"/>
              </w:rPr>
              <w:t>lo</w:t>
            </w:r>
            <w:r>
              <w:rPr>
                <w:spacing w:val="-3"/>
                <w:sz w:val="19"/>
              </w:rPr>
              <w:t> </w:t>
            </w:r>
            <w:r>
              <w:rPr>
                <w:sz w:val="19"/>
              </w:rPr>
              <w:t>que</w:t>
            </w:r>
            <w:r>
              <w:rPr>
                <w:spacing w:val="-5"/>
                <w:sz w:val="19"/>
              </w:rPr>
              <w:t> </w:t>
            </w:r>
            <w:r>
              <w:rPr>
                <w:sz w:val="19"/>
              </w:rPr>
              <w:t>ha</w:t>
            </w:r>
            <w:r>
              <w:rPr>
                <w:spacing w:val="-2"/>
                <w:sz w:val="19"/>
              </w:rPr>
              <w:t> </w:t>
            </w:r>
            <w:r>
              <w:rPr>
                <w:sz w:val="19"/>
              </w:rPr>
              <w:t>incidido</w:t>
            </w:r>
            <w:r>
              <w:rPr>
                <w:spacing w:val="-1"/>
                <w:sz w:val="19"/>
              </w:rPr>
              <w:t> </w:t>
            </w:r>
            <w:r>
              <w:rPr>
                <w:sz w:val="19"/>
              </w:rPr>
              <w:t>en no lograr concretar los productos vinculados a esta</w:t>
            </w:r>
            <w:r>
              <w:rPr>
                <w:spacing w:val="40"/>
                <w:sz w:val="19"/>
              </w:rPr>
              <w:t> </w:t>
            </w:r>
            <w:r>
              <w:rPr>
                <w:spacing w:val="-2"/>
                <w:sz w:val="19"/>
              </w:rPr>
              <w:t>actividad.</w:t>
            </w:r>
          </w:p>
        </w:tc>
      </w:tr>
    </w:tbl>
    <w:p>
      <w:pPr>
        <w:pStyle w:val="BodyText"/>
        <w:spacing w:before="1"/>
        <w:rPr>
          <w:rFonts w:ascii="Times New Roman"/>
          <w:sz w:val="6"/>
        </w:rPr>
      </w:pPr>
    </w:p>
    <w:p>
      <w:pPr>
        <w:pStyle w:val="BodyText"/>
        <w:spacing w:after="0"/>
        <w:rPr>
          <w:rFonts w:ascii="Times New Roman"/>
          <w:sz w:val="6"/>
        </w:rPr>
        <w:sectPr>
          <w:pgSz w:w="13370" w:h="17280"/>
          <w:pgMar w:header="507" w:footer="776" w:top="1340" w:bottom="1160" w:left="1275" w:right="992"/>
        </w:sectPr>
      </w:pPr>
    </w:p>
    <w:p>
      <w:pPr>
        <w:spacing w:before="81"/>
        <w:ind w:left="1648" w:right="38" w:hanging="1440"/>
        <w:jc w:val="both"/>
        <w:rPr>
          <w:rFonts w:ascii="Times New Roman" w:hAnsi="Times New Roman"/>
          <w:sz w:val="19"/>
        </w:rPr>
      </w:pPr>
      <w:r>
        <w:rPr>
          <w:rFonts w:ascii="Times New Roman" w:hAnsi="Times New Roman"/>
          <w:sz w:val="19"/>
        </w:rPr>
        <w:drawing>
          <wp:anchor distT="0" distB="0" distL="0" distR="0" allowOverlap="1" layoutInCell="1" locked="0" behindDoc="0" simplePos="0" relativeHeight="15745024">
            <wp:simplePos x="0" y="0"/>
            <wp:positionH relativeFrom="page">
              <wp:posOffset>7333615</wp:posOffset>
            </wp:positionH>
            <wp:positionV relativeFrom="paragraph">
              <wp:posOffset>51439</wp:posOffset>
            </wp:positionV>
            <wp:extent cx="199390" cy="161925"/>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40" cstate="print"/>
                    <a:stretch>
                      <a:fillRect/>
                    </a:stretch>
                  </pic:blipFill>
                  <pic:spPr>
                    <a:xfrm>
                      <a:off x="0" y="0"/>
                      <a:ext cx="199390" cy="161925"/>
                    </a:xfrm>
                    <a:prstGeom prst="rect">
                      <a:avLst/>
                    </a:prstGeom>
                  </pic:spPr>
                </pic:pic>
              </a:graphicData>
            </a:graphic>
          </wp:anchor>
        </w:drawing>
      </w:r>
      <w:r>
        <w:rPr>
          <w:rFonts w:ascii="Times New Roman" w:hAnsi="Times New Roman"/>
          <w:b/>
          <w:position w:val="1"/>
          <w:sz w:val="18"/>
        </w:rPr>
        <w:t>Resultado</w:t>
      </w:r>
      <w:r>
        <w:rPr>
          <w:rFonts w:ascii="Times New Roman" w:hAnsi="Times New Roman"/>
          <w:b/>
          <w:spacing w:val="-3"/>
          <w:position w:val="1"/>
          <w:sz w:val="18"/>
        </w:rPr>
        <w:t> </w:t>
      </w:r>
      <w:r>
        <w:rPr>
          <w:rFonts w:ascii="Times New Roman" w:hAnsi="Times New Roman"/>
          <w:b/>
          <w:position w:val="1"/>
          <w:sz w:val="18"/>
        </w:rPr>
        <w:t>PEI</w:t>
      </w:r>
      <w:r>
        <w:rPr>
          <w:rFonts w:ascii="Times New Roman" w:hAnsi="Times New Roman"/>
          <w:b/>
          <w:spacing w:val="80"/>
          <w:position w:val="1"/>
          <w:sz w:val="18"/>
        </w:rPr>
        <w:t>  </w:t>
      </w:r>
      <w:r>
        <w:rPr>
          <w:rFonts w:ascii="Times New Roman" w:hAnsi="Times New Roman"/>
          <w:sz w:val="19"/>
        </w:rPr>
        <w:t>3.10.1</w:t>
      </w:r>
      <w:r>
        <w:rPr>
          <w:rFonts w:ascii="Times New Roman" w:hAnsi="Times New Roman"/>
          <w:spacing w:val="31"/>
          <w:sz w:val="19"/>
        </w:rPr>
        <w:t> </w:t>
      </w:r>
      <w:r>
        <w:rPr>
          <w:rFonts w:ascii="Times New Roman" w:hAnsi="Times New Roman"/>
          <w:sz w:val="19"/>
        </w:rPr>
        <w:t>Metodología</w:t>
      </w:r>
      <w:r>
        <w:rPr>
          <w:rFonts w:ascii="Times New Roman" w:hAnsi="Times New Roman"/>
          <w:spacing w:val="30"/>
          <w:sz w:val="19"/>
        </w:rPr>
        <w:t> </w:t>
      </w:r>
      <w:r>
        <w:rPr>
          <w:rFonts w:ascii="Times New Roman" w:hAnsi="Times New Roman"/>
          <w:sz w:val="19"/>
        </w:rPr>
        <w:t>diseñada</w:t>
      </w:r>
      <w:r>
        <w:rPr>
          <w:rFonts w:ascii="Times New Roman" w:hAnsi="Times New Roman"/>
          <w:spacing w:val="30"/>
          <w:sz w:val="19"/>
        </w:rPr>
        <w:t> </w:t>
      </w:r>
      <w:r>
        <w:rPr>
          <w:rFonts w:ascii="Times New Roman" w:hAnsi="Times New Roman"/>
          <w:sz w:val="19"/>
        </w:rPr>
        <w:t>e implementada</w:t>
      </w:r>
      <w:r>
        <w:rPr>
          <w:rFonts w:ascii="Times New Roman" w:hAnsi="Times New Roman"/>
          <w:spacing w:val="30"/>
          <w:sz w:val="19"/>
        </w:rPr>
        <w:t> </w:t>
      </w:r>
      <w:r>
        <w:rPr>
          <w:rFonts w:ascii="Times New Roman" w:hAnsi="Times New Roman"/>
          <w:sz w:val="19"/>
        </w:rPr>
        <w:t>para</w:t>
      </w:r>
      <w:r>
        <w:rPr>
          <w:rFonts w:ascii="Times New Roman" w:hAnsi="Times New Roman"/>
          <w:spacing w:val="30"/>
          <w:sz w:val="19"/>
        </w:rPr>
        <w:t> </w:t>
      </w:r>
      <w:r>
        <w:rPr>
          <w:rFonts w:ascii="Times New Roman" w:hAnsi="Times New Roman"/>
          <w:sz w:val="19"/>
        </w:rPr>
        <w:t>la</w:t>
      </w:r>
      <w:r>
        <w:rPr>
          <w:rFonts w:ascii="Times New Roman" w:hAnsi="Times New Roman"/>
          <w:spacing w:val="30"/>
          <w:sz w:val="19"/>
        </w:rPr>
        <w:t> </w:t>
      </w:r>
      <w:r>
        <w:rPr>
          <w:rFonts w:ascii="Times New Roman" w:hAnsi="Times New Roman"/>
          <w:sz w:val="19"/>
        </w:rPr>
        <w:t>elaboración</w:t>
      </w:r>
      <w:r>
        <w:rPr>
          <w:rFonts w:ascii="Times New Roman" w:hAnsi="Times New Roman"/>
          <w:spacing w:val="31"/>
          <w:sz w:val="19"/>
        </w:rPr>
        <w:t> </w:t>
      </w:r>
      <w:r>
        <w:rPr>
          <w:rFonts w:ascii="Times New Roman" w:hAnsi="Times New Roman"/>
          <w:sz w:val="19"/>
        </w:rPr>
        <w:t>de</w:t>
      </w:r>
      <w:r>
        <w:rPr>
          <w:rFonts w:ascii="Times New Roman" w:hAnsi="Times New Roman"/>
          <w:spacing w:val="30"/>
          <w:sz w:val="19"/>
        </w:rPr>
        <w:t> </w:t>
      </w:r>
      <w:r>
        <w:rPr>
          <w:rFonts w:ascii="Times New Roman" w:hAnsi="Times New Roman"/>
          <w:sz w:val="19"/>
        </w:rPr>
        <w:t>estudios de</w:t>
      </w:r>
      <w:r>
        <w:rPr>
          <w:rFonts w:ascii="Times New Roman" w:hAnsi="Times New Roman"/>
          <w:spacing w:val="30"/>
          <w:sz w:val="19"/>
        </w:rPr>
        <w:t> </w:t>
      </w:r>
      <w:r>
        <w:rPr>
          <w:rFonts w:ascii="Times New Roman" w:hAnsi="Times New Roman"/>
          <w:sz w:val="19"/>
        </w:rPr>
        <w:t>la</w:t>
      </w:r>
      <w:r>
        <w:rPr>
          <w:rFonts w:ascii="Times New Roman" w:hAnsi="Times New Roman"/>
          <w:spacing w:val="30"/>
          <w:sz w:val="19"/>
        </w:rPr>
        <w:t> </w:t>
      </w:r>
      <w:r>
        <w:rPr>
          <w:rFonts w:ascii="Times New Roman" w:hAnsi="Times New Roman"/>
          <w:sz w:val="19"/>
        </w:rPr>
        <w:t>realidad social y económica, regional y territorial, que genere los insumos necesarios para facilitar la orientación de la inversión y el desarrollo de la oferta programática.</w:t>
      </w:r>
    </w:p>
    <w:p>
      <w:pPr>
        <w:spacing w:before="82"/>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5" w:space="237"/>
            <w:col w:w="1861"/>
          </w:cols>
        </w:sectPr>
      </w:pPr>
    </w:p>
    <w:p>
      <w:pPr>
        <w:pStyle w:val="BodyText"/>
        <w:spacing w:before="4"/>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8"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spacing w:line="242" w:lineRule="auto"/>
              <w:ind w:left="42" w:right="44"/>
              <w:jc w:val="both"/>
              <w:rPr>
                <w:sz w:val="19"/>
              </w:rPr>
            </w:pPr>
            <w:r>
              <w:rPr>
                <w:sz w:val="19"/>
              </w:rPr>
              <w:t>PPPS 1.23.1: Diseño de metodología para elaboración de estudios de la realidad social y económica regional y territorial</w:t>
            </w:r>
          </w:p>
        </w:tc>
        <w:tc>
          <w:tcPr>
            <w:tcW w:w="4726" w:type="dxa"/>
            <w:tcBorders>
              <w:top w:val="single" w:sz="12" w:space="0" w:color="000000"/>
            </w:tcBorders>
          </w:tcPr>
          <w:p>
            <w:pPr>
              <w:pStyle w:val="TableParagraph"/>
              <w:ind w:left="45" w:right="44"/>
              <w:jc w:val="both"/>
              <w:rPr>
                <w:sz w:val="19"/>
              </w:rPr>
            </w:pPr>
            <w:r>
              <w:rPr>
                <w:sz w:val="19"/>
              </w:rPr>
              <w:t>El proceso de coordinación con Planificación Institucional ha</w:t>
            </w:r>
            <w:r>
              <w:rPr>
                <w:spacing w:val="-2"/>
                <w:sz w:val="19"/>
              </w:rPr>
              <w:t> </w:t>
            </w:r>
            <w:r>
              <w:rPr>
                <w:sz w:val="19"/>
              </w:rPr>
              <w:t>tomado</w:t>
            </w:r>
            <w:r>
              <w:rPr>
                <w:spacing w:val="-1"/>
                <w:sz w:val="19"/>
              </w:rPr>
              <w:t> </w:t>
            </w:r>
            <w:r>
              <w:rPr>
                <w:sz w:val="19"/>
              </w:rPr>
              <w:t>mayor</w:t>
            </w:r>
            <w:r>
              <w:rPr>
                <w:spacing w:val="-3"/>
                <w:sz w:val="19"/>
              </w:rPr>
              <w:t> </w:t>
            </w:r>
            <w:r>
              <w:rPr>
                <w:sz w:val="19"/>
              </w:rPr>
              <w:t>tiempo</w:t>
            </w:r>
            <w:r>
              <w:rPr>
                <w:spacing w:val="-1"/>
                <w:sz w:val="19"/>
              </w:rPr>
              <w:t> </w:t>
            </w:r>
            <w:r>
              <w:rPr>
                <w:sz w:val="19"/>
              </w:rPr>
              <w:t>del</w:t>
            </w:r>
            <w:r>
              <w:rPr>
                <w:spacing w:val="-2"/>
                <w:sz w:val="19"/>
              </w:rPr>
              <w:t> </w:t>
            </w:r>
            <w:r>
              <w:rPr>
                <w:sz w:val="19"/>
              </w:rPr>
              <w:t>esperado,</w:t>
            </w:r>
            <w:r>
              <w:rPr>
                <w:spacing w:val="-1"/>
                <w:sz w:val="19"/>
              </w:rPr>
              <w:t> </w:t>
            </w:r>
            <w:r>
              <w:rPr>
                <w:sz w:val="19"/>
              </w:rPr>
              <w:t>lo</w:t>
            </w:r>
            <w:r>
              <w:rPr>
                <w:spacing w:val="-3"/>
                <w:sz w:val="19"/>
              </w:rPr>
              <w:t> </w:t>
            </w:r>
            <w:r>
              <w:rPr>
                <w:sz w:val="19"/>
              </w:rPr>
              <w:t>que</w:t>
            </w:r>
            <w:r>
              <w:rPr>
                <w:spacing w:val="-5"/>
                <w:sz w:val="19"/>
              </w:rPr>
              <w:t> </w:t>
            </w:r>
            <w:r>
              <w:rPr>
                <w:sz w:val="19"/>
              </w:rPr>
              <w:t>ha</w:t>
            </w:r>
            <w:r>
              <w:rPr>
                <w:spacing w:val="-2"/>
                <w:sz w:val="19"/>
              </w:rPr>
              <w:t> </w:t>
            </w:r>
            <w:r>
              <w:rPr>
                <w:sz w:val="19"/>
              </w:rPr>
              <w:t>incidido</w:t>
            </w:r>
            <w:r>
              <w:rPr>
                <w:spacing w:val="-1"/>
                <w:sz w:val="19"/>
              </w:rPr>
              <w:t> </w:t>
            </w:r>
            <w:r>
              <w:rPr>
                <w:sz w:val="19"/>
              </w:rPr>
              <w:t>en no lograr concretar los productos vinculados a esta</w:t>
            </w:r>
            <w:r>
              <w:rPr>
                <w:spacing w:val="40"/>
                <w:sz w:val="19"/>
              </w:rPr>
              <w:t> </w:t>
            </w:r>
            <w:r>
              <w:rPr>
                <w:spacing w:val="-2"/>
                <w:sz w:val="19"/>
              </w:rPr>
              <w:t>actividad.</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before="81"/>
        <w:ind w:left="1648" w:right="38"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45536">
            <wp:simplePos x="0" y="0"/>
            <wp:positionH relativeFrom="page">
              <wp:posOffset>7333615</wp:posOffset>
            </wp:positionH>
            <wp:positionV relativeFrom="paragraph">
              <wp:posOffset>51184</wp:posOffset>
            </wp:positionV>
            <wp:extent cx="199390" cy="162052"/>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41" cstate="print"/>
                    <a:stretch>
                      <a:fillRect/>
                    </a:stretch>
                  </pic:blipFill>
                  <pic:spPr>
                    <a:xfrm>
                      <a:off x="0" y="0"/>
                      <a:ext cx="199390" cy="162052"/>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3.11.1</w:t>
      </w:r>
      <w:r>
        <w:rPr>
          <w:rFonts w:ascii="Times New Roman" w:hAnsi="Times New Roman"/>
          <w:spacing w:val="34"/>
          <w:sz w:val="19"/>
        </w:rPr>
        <w:t> </w:t>
      </w:r>
      <w:r>
        <w:rPr>
          <w:rFonts w:ascii="Times New Roman" w:hAnsi="Times New Roman"/>
          <w:sz w:val="19"/>
        </w:rPr>
        <w:t>Áreas</w:t>
      </w:r>
      <w:r>
        <w:rPr>
          <w:rFonts w:ascii="Times New Roman" w:hAnsi="Times New Roman"/>
          <w:spacing w:val="34"/>
          <w:sz w:val="19"/>
        </w:rPr>
        <w:t> </w:t>
      </w:r>
      <w:r>
        <w:rPr>
          <w:rFonts w:ascii="Times New Roman" w:hAnsi="Times New Roman"/>
          <w:sz w:val="19"/>
        </w:rPr>
        <w:t>Regionales</w:t>
      </w:r>
      <w:r>
        <w:rPr>
          <w:rFonts w:ascii="Times New Roman" w:hAnsi="Times New Roman"/>
          <w:spacing w:val="34"/>
          <w:sz w:val="19"/>
        </w:rPr>
        <w:t> </w:t>
      </w:r>
      <w:r>
        <w:rPr>
          <w:rFonts w:ascii="Times New Roman" w:hAnsi="Times New Roman"/>
          <w:sz w:val="19"/>
        </w:rPr>
        <w:t>con</w:t>
      </w:r>
      <w:r>
        <w:rPr>
          <w:rFonts w:ascii="Times New Roman" w:hAnsi="Times New Roman"/>
          <w:spacing w:val="34"/>
          <w:sz w:val="19"/>
        </w:rPr>
        <w:t> </w:t>
      </w:r>
      <w:r>
        <w:rPr>
          <w:rFonts w:ascii="Times New Roman" w:hAnsi="Times New Roman"/>
          <w:sz w:val="19"/>
        </w:rPr>
        <w:t>equipamiento</w:t>
      </w:r>
      <w:r>
        <w:rPr>
          <w:rFonts w:ascii="Times New Roman" w:hAnsi="Times New Roman"/>
          <w:spacing w:val="34"/>
          <w:sz w:val="19"/>
        </w:rPr>
        <w:t> </w:t>
      </w:r>
      <w:r>
        <w:rPr>
          <w:rFonts w:ascii="Times New Roman" w:hAnsi="Times New Roman"/>
          <w:sz w:val="19"/>
        </w:rPr>
        <w:t>tecnológico</w:t>
      </w:r>
      <w:r>
        <w:rPr>
          <w:rFonts w:ascii="Times New Roman" w:hAnsi="Times New Roman"/>
          <w:spacing w:val="34"/>
          <w:sz w:val="19"/>
        </w:rPr>
        <w:t> </w:t>
      </w:r>
      <w:r>
        <w:rPr>
          <w:rFonts w:ascii="Times New Roman" w:hAnsi="Times New Roman"/>
          <w:sz w:val="19"/>
        </w:rPr>
        <w:t>que</w:t>
      </w:r>
      <w:r>
        <w:rPr>
          <w:rFonts w:ascii="Times New Roman" w:hAnsi="Times New Roman"/>
          <w:spacing w:val="31"/>
          <w:sz w:val="19"/>
        </w:rPr>
        <w:t> </w:t>
      </w:r>
      <w:r>
        <w:rPr>
          <w:rFonts w:ascii="Times New Roman" w:hAnsi="Times New Roman"/>
          <w:sz w:val="19"/>
        </w:rPr>
        <w:t>responda</w:t>
      </w:r>
      <w:r>
        <w:rPr>
          <w:rFonts w:ascii="Times New Roman" w:hAnsi="Times New Roman"/>
          <w:spacing w:val="33"/>
          <w:sz w:val="19"/>
        </w:rPr>
        <w:t> </w:t>
      </w:r>
      <w:r>
        <w:rPr>
          <w:rFonts w:ascii="Times New Roman" w:hAnsi="Times New Roman"/>
          <w:sz w:val="19"/>
        </w:rPr>
        <w:t>a</w:t>
      </w:r>
      <w:r>
        <w:rPr>
          <w:rFonts w:ascii="Times New Roman" w:hAnsi="Times New Roman"/>
          <w:spacing w:val="33"/>
          <w:sz w:val="19"/>
        </w:rPr>
        <w:t> </w:t>
      </w:r>
      <w:r>
        <w:rPr>
          <w:rFonts w:ascii="Times New Roman" w:hAnsi="Times New Roman"/>
          <w:sz w:val="19"/>
        </w:rPr>
        <w:t>las</w:t>
      </w:r>
      <w:r>
        <w:rPr>
          <w:rFonts w:ascii="Times New Roman" w:hAnsi="Times New Roman"/>
          <w:spacing w:val="34"/>
          <w:sz w:val="19"/>
        </w:rPr>
        <w:t> </w:t>
      </w:r>
      <w:r>
        <w:rPr>
          <w:rFonts w:ascii="Times New Roman" w:hAnsi="Times New Roman"/>
          <w:sz w:val="19"/>
        </w:rPr>
        <w:t>necesidades</w:t>
      </w:r>
      <w:r>
        <w:rPr>
          <w:rFonts w:ascii="Times New Roman" w:hAnsi="Times New Roman"/>
          <w:spacing w:val="31"/>
          <w:sz w:val="19"/>
        </w:rPr>
        <w:t> </w:t>
      </w:r>
      <w:r>
        <w:rPr>
          <w:rFonts w:ascii="Times New Roman" w:hAnsi="Times New Roman"/>
          <w:sz w:val="19"/>
        </w:rPr>
        <w:t>que demandan los nuevos procesos de atención en los territorios</w:t>
      </w:r>
    </w:p>
    <w:p>
      <w:pPr>
        <w:spacing w:before="81"/>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11" w:space="231"/>
            <w:col w:w="1861"/>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ight="44"/>
              <w:jc w:val="both"/>
              <w:rPr>
                <w:sz w:val="19"/>
              </w:rPr>
            </w:pPr>
            <w:r>
              <w:rPr>
                <w:sz w:val="19"/>
              </w:rPr>
              <w:t>PPPS 1.24.1: Diagnóstico de equipo tecnológico con que cuentan las ARDS, con relación a las necesidades que se presentan en la atención en </w:t>
            </w:r>
            <w:r>
              <w:rPr>
                <w:spacing w:val="-2"/>
                <w:sz w:val="19"/>
              </w:rPr>
              <w:t>territorios</w:t>
            </w:r>
          </w:p>
        </w:tc>
        <w:tc>
          <w:tcPr>
            <w:tcW w:w="4726" w:type="dxa"/>
            <w:tcBorders>
              <w:top w:val="single" w:sz="12" w:space="0" w:color="000000"/>
            </w:tcBorders>
          </w:tcPr>
          <w:p>
            <w:pPr>
              <w:pStyle w:val="TableParagraph"/>
              <w:spacing w:line="242" w:lineRule="auto"/>
              <w:ind w:left="45" w:right="44"/>
              <w:jc w:val="both"/>
              <w:rPr>
                <w:sz w:val="19"/>
              </w:rPr>
            </w:pPr>
            <w:r>
              <w:rPr>
                <w:sz w:val="19"/>
              </w:rPr>
              <w:t>Debido a que se requiere de la vinculación de otras instancias institucionales, ha incidido en que se requiera de una coordinación previa.</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spacing w:line="242" w:lineRule="auto" w:before="79"/>
        <w:ind w:left="1648" w:right="38" w:hanging="1440"/>
        <w:jc w:val="both"/>
        <w:rPr>
          <w:rFonts w:ascii="Times New Roman" w:hAnsi="Times New Roman"/>
          <w:sz w:val="19"/>
        </w:rPr>
      </w:pPr>
      <w:r>
        <w:rPr>
          <w:rFonts w:ascii="Times New Roman" w:hAnsi="Times New Roman"/>
          <w:sz w:val="19"/>
        </w:rPr>
        <w:drawing>
          <wp:anchor distT="0" distB="0" distL="0" distR="0" allowOverlap="1" layoutInCell="1" locked="0" behindDoc="0" simplePos="0" relativeHeight="15746048">
            <wp:simplePos x="0" y="0"/>
            <wp:positionH relativeFrom="page">
              <wp:posOffset>7333615</wp:posOffset>
            </wp:positionH>
            <wp:positionV relativeFrom="paragraph">
              <wp:posOffset>49914</wp:posOffset>
            </wp:positionV>
            <wp:extent cx="199390" cy="163575"/>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42" cstate="print"/>
                    <a:stretch>
                      <a:fillRect/>
                    </a:stretch>
                  </pic:blipFill>
                  <pic:spPr>
                    <a:xfrm>
                      <a:off x="0" y="0"/>
                      <a:ext cx="199390" cy="163575"/>
                    </a:xfrm>
                    <a:prstGeom prst="rect">
                      <a:avLst/>
                    </a:prstGeom>
                  </pic:spPr>
                </pic:pic>
              </a:graphicData>
            </a:graphic>
          </wp:anchor>
        </w:drawing>
      </w:r>
      <w:r>
        <w:rPr>
          <w:rFonts w:ascii="Times New Roman" w:hAnsi="Times New Roman"/>
          <w:b/>
          <w:position w:val="1"/>
          <w:sz w:val="18"/>
        </w:rPr>
        <w:t>Resultado</w:t>
      </w:r>
      <w:r>
        <w:rPr>
          <w:rFonts w:ascii="Times New Roman" w:hAnsi="Times New Roman"/>
          <w:b/>
          <w:spacing w:val="-3"/>
          <w:position w:val="1"/>
          <w:sz w:val="18"/>
        </w:rPr>
        <w:t> </w:t>
      </w:r>
      <w:r>
        <w:rPr>
          <w:rFonts w:ascii="Times New Roman" w:hAnsi="Times New Roman"/>
          <w:b/>
          <w:position w:val="1"/>
          <w:sz w:val="18"/>
        </w:rPr>
        <w:t>PEI</w:t>
      </w:r>
      <w:r>
        <w:rPr>
          <w:rFonts w:ascii="Times New Roman" w:hAnsi="Times New Roman"/>
          <w:b/>
          <w:spacing w:val="40"/>
          <w:position w:val="1"/>
          <w:sz w:val="18"/>
        </w:rPr>
        <w:t>  </w:t>
      </w:r>
      <w:r>
        <w:rPr>
          <w:rFonts w:ascii="Times New Roman" w:hAnsi="Times New Roman"/>
          <w:sz w:val="19"/>
        </w:rPr>
        <w:t>3.2.2 Mecanismos diseñados e implementados para la atención itinerante a la población cuya brecha digital o limitaciones de acceso a la tecnología les dificulta la atención oportuna del </w:t>
      </w:r>
      <w:r>
        <w:rPr>
          <w:rFonts w:ascii="Times New Roman" w:hAnsi="Times New Roman"/>
          <w:spacing w:val="-4"/>
          <w:sz w:val="19"/>
        </w:rPr>
        <w:t>IMAS</w:t>
      </w:r>
    </w:p>
    <w:p>
      <w:pPr>
        <w:spacing w:before="79"/>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8" w:space="234"/>
            <w:col w:w="1861"/>
          </w:cols>
        </w:sectPr>
      </w:pPr>
    </w:p>
    <w:p>
      <w:pPr>
        <w:pStyle w:val="BodyText"/>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ight="41"/>
              <w:jc w:val="both"/>
              <w:rPr>
                <w:sz w:val="19"/>
              </w:rPr>
            </w:pPr>
            <w:r>
              <w:rPr>
                <w:sz w:val="19"/>
              </w:rPr>
              <w:t>PPPS 1.14.1: Diseño de mecanismos para la atención itinerante a la población cuya brecha digital o limitaciones de acceso a la tecnología les dificulta la atención oportuna del IMAS</w:t>
            </w:r>
          </w:p>
        </w:tc>
        <w:tc>
          <w:tcPr>
            <w:tcW w:w="4726" w:type="dxa"/>
            <w:tcBorders>
              <w:top w:val="single" w:sz="12" w:space="0" w:color="000000"/>
            </w:tcBorders>
          </w:tcPr>
          <w:p>
            <w:pPr>
              <w:pStyle w:val="TableParagraph"/>
              <w:spacing w:before="2"/>
              <w:ind w:left="45"/>
              <w:rPr>
                <w:sz w:val="19"/>
              </w:rPr>
            </w:pPr>
            <w:r>
              <w:rPr>
                <w:sz w:val="19"/>
              </w:rPr>
              <w:t>No</w:t>
            </w:r>
            <w:r>
              <w:rPr>
                <w:spacing w:val="-1"/>
                <w:sz w:val="19"/>
              </w:rPr>
              <w:t> </w:t>
            </w:r>
            <w:r>
              <w:rPr>
                <w:sz w:val="19"/>
              </w:rPr>
              <w:t>se</w:t>
            </w:r>
            <w:r>
              <w:rPr>
                <w:spacing w:val="-3"/>
                <w:sz w:val="19"/>
              </w:rPr>
              <w:t> </w:t>
            </w:r>
            <w:r>
              <w:rPr>
                <w:spacing w:val="-2"/>
                <w:sz w:val="19"/>
              </w:rPr>
              <w:t>identifican</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spacing w:before="79"/>
        <w:ind w:left="1648" w:right="38" w:hanging="1440"/>
        <w:jc w:val="both"/>
        <w:rPr>
          <w:rFonts w:ascii="Times New Roman" w:hAnsi="Times New Roman"/>
          <w:sz w:val="19"/>
        </w:rPr>
      </w:pPr>
      <w:r>
        <w:rPr>
          <w:rFonts w:ascii="Times New Roman" w:hAnsi="Times New Roman"/>
          <w:sz w:val="19"/>
        </w:rPr>
        <w:drawing>
          <wp:anchor distT="0" distB="0" distL="0" distR="0" allowOverlap="1" layoutInCell="1" locked="0" behindDoc="0" simplePos="0" relativeHeight="15746560">
            <wp:simplePos x="0" y="0"/>
            <wp:positionH relativeFrom="page">
              <wp:posOffset>7333615</wp:posOffset>
            </wp:positionH>
            <wp:positionV relativeFrom="paragraph">
              <wp:posOffset>49279</wp:posOffset>
            </wp:positionV>
            <wp:extent cx="199390" cy="162687"/>
            <wp:effectExtent l="0" t="0" r="0" b="0"/>
            <wp:wrapNone/>
            <wp:docPr id="68" name="Image 68"/>
            <wp:cNvGraphicFramePr>
              <a:graphicFrameLocks/>
            </wp:cNvGraphicFramePr>
            <a:graphic>
              <a:graphicData uri="http://schemas.openxmlformats.org/drawingml/2006/picture">
                <pic:pic>
                  <pic:nvPicPr>
                    <pic:cNvPr id="68" name="Image 68"/>
                    <pic:cNvPicPr/>
                  </pic:nvPicPr>
                  <pic:blipFill>
                    <a:blip r:embed="rId41" cstate="print"/>
                    <a:stretch>
                      <a:fillRect/>
                    </a:stretch>
                  </pic:blipFill>
                  <pic:spPr>
                    <a:xfrm>
                      <a:off x="0" y="0"/>
                      <a:ext cx="199390" cy="162687"/>
                    </a:xfrm>
                    <a:prstGeom prst="rect">
                      <a:avLst/>
                    </a:prstGeom>
                  </pic:spPr>
                </pic:pic>
              </a:graphicData>
            </a:graphic>
          </wp:anchor>
        </w:drawing>
      </w:r>
      <w:r>
        <w:rPr>
          <w:rFonts w:ascii="Times New Roman" w:hAnsi="Times New Roman"/>
          <w:b/>
          <w:position w:val="1"/>
          <w:sz w:val="18"/>
        </w:rPr>
        <w:t>Resultado</w:t>
      </w:r>
      <w:r>
        <w:rPr>
          <w:rFonts w:ascii="Times New Roman" w:hAnsi="Times New Roman"/>
          <w:b/>
          <w:spacing w:val="-3"/>
          <w:position w:val="1"/>
          <w:sz w:val="18"/>
        </w:rPr>
        <w:t> </w:t>
      </w:r>
      <w:r>
        <w:rPr>
          <w:rFonts w:ascii="Times New Roman" w:hAnsi="Times New Roman"/>
          <w:b/>
          <w:position w:val="1"/>
          <w:sz w:val="18"/>
        </w:rPr>
        <w:t>PEI</w:t>
      </w:r>
      <w:r>
        <w:rPr>
          <w:rFonts w:ascii="Times New Roman" w:hAnsi="Times New Roman"/>
          <w:b/>
          <w:spacing w:val="80"/>
          <w:position w:val="1"/>
          <w:sz w:val="18"/>
        </w:rPr>
        <w:t>  </w:t>
      </w:r>
      <w:r>
        <w:rPr>
          <w:rFonts w:ascii="Times New Roman" w:hAnsi="Times New Roman"/>
          <w:sz w:val="19"/>
        </w:rPr>
        <w:t>3.3.2 Mecanismos de articulación interinstitucional diseñados e implementados que promuevan la formación integral dirigida a la niñez y juventud en situación de pobreza con la finalidad de crear condiciones de promoción social en estas poblaciones.</w:t>
      </w:r>
    </w:p>
    <w:p>
      <w:pPr>
        <w:spacing w:before="79"/>
        <w:ind w:left="208" w:right="0" w:firstLine="0"/>
        <w:jc w:val="left"/>
        <w:rPr>
          <w:rFonts w:ascii="Times New Roman"/>
          <w:sz w:val="19"/>
        </w:rPr>
      </w:pPr>
      <w:r>
        <w:rPr/>
        <w:br w:type="column"/>
      </w:r>
      <w:r>
        <w:rPr>
          <w:rFonts w:ascii="Times New Roman"/>
          <w:sz w:val="19"/>
        </w:rPr>
        <w:t>30,00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6" w:space="142"/>
            <w:col w:w="1955"/>
          </w:cols>
        </w:sectPr>
      </w:pPr>
    </w:p>
    <w:p>
      <w:pPr>
        <w:pStyle w:val="BodyText"/>
        <w:spacing w:before="6"/>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28" w:type="dxa"/>
            <w:tcBorders>
              <w:left w:val="single" w:sz="2" w:space="0" w:color="000000"/>
              <w:bottom w:val="single" w:sz="12" w:space="0" w:color="000000"/>
              <w:right w:val="single" w:sz="2" w:space="0" w:color="000000"/>
            </w:tcBorders>
            <w:shd w:val="clear" w:color="auto" w:fill="E4E4E4"/>
          </w:tcPr>
          <w:p>
            <w:pPr>
              <w:pStyle w:val="TableParagraph"/>
              <w:spacing w:line="207" w:lineRule="exact"/>
              <w:ind w:left="2"/>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jc w:val="center"/>
              <w:rPr>
                <w:b/>
                <w:sz w:val="18"/>
              </w:rPr>
            </w:pPr>
            <w:r>
              <w:rPr>
                <w:b/>
                <w:spacing w:val="-2"/>
                <w:sz w:val="18"/>
              </w:rPr>
              <w:t>Justificación</w:t>
            </w:r>
          </w:p>
        </w:tc>
      </w:tr>
      <w:tr>
        <w:trPr>
          <w:trHeight w:val="704"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28" w:type="dxa"/>
            <w:tcBorders>
              <w:top w:val="single" w:sz="12" w:space="0" w:color="000000"/>
              <w:bottom w:val="single" w:sz="12" w:space="0" w:color="000000"/>
            </w:tcBorders>
          </w:tcPr>
          <w:p>
            <w:pPr>
              <w:pStyle w:val="TableParagraph"/>
              <w:ind w:left="42" w:right="41"/>
              <w:jc w:val="both"/>
              <w:rPr>
                <w:sz w:val="19"/>
              </w:rPr>
            </w:pPr>
            <w:r>
              <w:rPr>
                <w:sz w:val="19"/>
              </w:rPr>
              <w:t>PPPS 1.16.1: Levantamiento de información sobre las instancias con las que se requiere gestar procesos de articulación.</w:t>
            </w:r>
          </w:p>
        </w:tc>
        <w:tc>
          <w:tcPr>
            <w:tcW w:w="4726" w:type="dxa"/>
            <w:tcBorders>
              <w:top w:val="single" w:sz="12" w:space="0" w:color="000000"/>
              <w:bottom w:val="single" w:sz="12" w:space="0" w:color="000000"/>
            </w:tcBorders>
          </w:tcPr>
          <w:p>
            <w:pPr>
              <w:pStyle w:val="TableParagraph"/>
              <w:ind w:left="47"/>
              <w:rPr>
                <w:sz w:val="19"/>
              </w:rPr>
            </w:pPr>
            <w:r>
              <w:rPr>
                <w:sz w:val="19"/>
              </w:rPr>
              <w:t>Se</w:t>
            </w:r>
            <w:r>
              <w:rPr>
                <w:spacing w:val="22"/>
                <w:sz w:val="19"/>
              </w:rPr>
              <w:t> </w:t>
            </w:r>
            <w:r>
              <w:rPr>
                <w:sz w:val="19"/>
              </w:rPr>
              <w:t>identifica el requerimiento del</w:t>
            </w:r>
            <w:r>
              <w:rPr>
                <w:spacing w:val="22"/>
                <w:sz w:val="19"/>
              </w:rPr>
              <w:t> </w:t>
            </w:r>
            <w:r>
              <w:rPr>
                <w:sz w:val="19"/>
              </w:rPr>
              <w:t>apoyo a nivel</w:t>
            </w:r>
            <w:r>
              <w:rPr>
                <w:spacing w:val="22"/>
                <w:sz w:val="19"/>
              </w:rPr>
              <w:t> </w:t>
            </w:r>
            <w:r>
              <w:rPr>
                <w:sz w:val="19"/>
              </w:rPr>
              <w:t>local para poder realizar el mapeo correspondiente</w:t>
            </w:r>
          </w:p>
        </w:tc>
      </w:tr>
      <w:tr>
        <w:trPr>
          <w:trHeight w:val="925"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28" w:type="dxa"/>
            <w:tcBorders>
              <w:top w:val="single" w:sz="12" w:space="0" w:color="000000"/>
            </w:tcBorders>
          </w:tcPr>
          <w:p>
            <w:pPr>
              <w:pStyle w:val="TableParagraph"/>
              <w:ind w:left="42"/>
              <w:rPr>
                <w:sz w:val="19"/>
              </w:rPr>
            </w:pPr>
            <w:r>
              <w:rPr>
                <w:sz w:val="19"/>
              </w:rPr>
              <w:t>PPPS</w:t>
            </w:r>
            <w:r>
              <w:rPr>
                <w:spacing w:val="80"/>
                <w:sz w:val="19"/>
              </w:rPr>
              <w:t> </w:t>
            </w:r>
            <w:r>
              <w:rPr>
                <w:sz w:val="19"/>
              </w:rPr>
              <w:t>1.16.2:</w:t>
            </w:r>
            <w:r>
              <w:rPr>
                <w:spacing w:val="80"/>
                <w:sz w:val="19"/>
              </w:rPr>
              <w:t> </w:t>
            </w:r>
            <w:r>
              <w:rPr>
                <w:sz w:val="19"/>
              </w:rPr>
              <w:t>Definición</w:t>
            </w:r>
            <w:r>
              <w:rPr>
                <w:spacing w:val="80"/>
                <w:sz w:val="19"/>
              </w:rPr>
              <w:t> </w:t>
            </w:r>
            <w:r>
              <w:rPr>
                <w:sz w:val="19"/>
              </w:rPr>
              <w:t>de</w:t>
            </w:r>
            <w:r>
              <w:rPr>
                <w:spacing w:val="80"/>
                <w:sz w:val="19"/>
              </w:rPr>
              <w:t> </w:t>
            </w:r>
            <w:r>
              <w:rPr>
                <w:sz w:val="19"/>
              </w:rPr>
              <w:t>mecanismos</w:t>
            </w:r>
            <w:r>
              <w:rPr>
                <w:spacing w:val="80"/>
                <w:sz w:val="19"/>
              </w:rPr>
              <w:t> </w:t>
            </w:r>
            <w:r>
              <w:rPr>
                <w:sz w:val="19"/>
              </w:rPr>
              <w:t>de</w:t>
            </w:r>
            <w:r>
              <w:rPr>
                <w:spacing w:val="40"/>
                <w:sz w:val="19"/>
              </w:rPr>
              <w:t> </w:t>
            </w:r>
            <w:r>
              <w:rPr>
                <w:sz w:val="19"/>
              </w:rPr>
              <w:t>articulación para cada instancia identificada.</w:t>
            </w:r>
          </w:p>
        </w:tc>
        <w:tc>
          <w:tcPr>
            <w:tcW w:w="4726" w:type="dxa"/>
            <w:tcBorders>
              <w:top w:val="single" w:sz="12" w:space="0" w:color="000000"/>
            </w:tcBorders>
          </w:tcPr>
          <w:p>
            <w:pPr>
              <w:pStyle w:val="TableParagraph"/>
              <w:ind w:left="47" w:right="43"/>
              <w:jc w:val="both"/>
              <w:rPr>
                <w:sz w:val="19"/>
              </w:rPr>
            </w:pPr>
            <w:r>
              <w:rPr>
                <w:sz w:val="19"/>
              </w:rPr>
              <w:t>Se depende de</w:t>
            </w:r>
            <w:r>
              <w:rPr>
                <w:spacing w:val="-3"/>
                <w:sz w:val="19"/>
              </w:rPr>
              <w:t> </w:t>
            </w:r>
            <w:r>
              <w:rPr>
                <w:sz w:val="19"/>
              </w:rPr>
              <w:t>la anuencia</w:t>
            </w:r>
            <w:r>
              <w:rPr>
                <w:spacing w:val="-1"/>
                <w:sz w:val="19"/>
              </w:rPr>
              <w:t> </w:t>
            </w:r>
            <w:r>
              <w:rPr>
                <w:sz w:val="19"/>
              </w:rPr>
              <w:t>de</w:t>
            </w:r>
            <w:r>
              <w:rPr>
                <w:spacing w:val="-3"/>
                <w:sz w:val="19"/>
              </w:rPr>
              <w:t> </w:t>
            </w:r>
            <w:r>
              <w:rPr>
                <w:sz w:val="19"/>
              </w:rPr>
              <w:t>la</w:t>
            </w:r>
            <w:r>
              <w:rPr>
                <w:spacing w:val="-3"/>
                <w:sz w:val="19"/>
              </w:rPr>
              <w:t> </w:t>
            </w:r>
            <w:r>
              <w:rPr>
                <w:sz w:val="19"/>
              </w:rPr>
              <w:t>contraparte para concretizar la coordinación interinstitucional ya que este proceso requiere la aprobación y colaboración de diversas entidades </w:t>
            </w:r>
            <w:r>
              <w:rPr>
                <w:spacing w:val="-2"/>
                <w:sz w:val="19"/>
              </w:rPr>
              <w:t>involucradas.</w:t>
            </w:r>
          </w:p>
        </w:tc>
      </w:tr>
    </w:tbl>
    <w:p>
      <w:pPr>
        <w:pStyle w:val="BodyText"/>
        <w:spacing w:before="1"/>
        <w:rPr>
          <w:rFonts w:ascii="Times New Roman"/>
          <w:sz w:val="6"/>
        </w:rPr>
      </w:pPr>
    </w:p>
    <w:p>
      <w:pPr>
        <w:pStyle w:val="BodyText"/>
        <w:spacing w:after="0"/>
        <w:rPr>
          <w:rFonts w:ascii="Times New Roman"/>
          <w:sz w:val="6"/>
        </w:rPr>
        <w:sectPr>
          <w:type w:val="continuous"/>
          <w:pgSz w:w="13370" w:h="17280"/>
          <w:pgMar w:header="507" w:footer="776" w:top="1120" w:bottom="1160" w:left="1275" w:right="992"/>
        </w:sectPr>
      </w:pPr>
    </w:p>
    <w:p>
      <w:pPr>
        <w:tabs>
          <w:tab w:pos="1648" w:val="left" w:leader="none"/>
        </w:tabs>
        <w:spacing w:before="82"/>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47072">
            <wp:simplePos x="0" y="0"/>
            <wp:positionH relativeFrom="page">
              <wp:posOffset>7333615</wp:posOffset>
            </wp:positionH>
            <wp:positionV relativeFrom="paragraph">
              <wp:posOffset>50803</wp:posOffset>
            </wp:positionV>
            <wp:extent cx="199390" cy="163067"/>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43" cstate="print"/>
                    <a:stretch>
                      <a:fillRect/>
                    </a:stretch>
                  </pic:blipFill>
                  <pic:spPr>
                    <a:xfrm>
                      <a:off x="0" y="0"/>
                      <a:ext cx="199390" cy="163067"/>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3.8.1</w:t>
      </w:r>
      <w:r>
        <w:rPr>
          <w:rFonts w:ascii="Times New Roman" w:hAnsi="Times New Roman"/>
          <w:spacing w:val="40"/>
          <w:sz w:val="19"/>
        </w:rPr>
        <w:t> </w:t>
      </w:r>
      <w:r>
        <w:rPr>
          <w:rFonts w:ascii="Times New Roman" w:hAnsi="Times New Roman"/>
          <w:sz w:val="19"/>
        </w:rPr>
        <w:t>Unidades</w:t>
      </w:r>
      <w:r>
        <w:rPr>
          <w:rFonts w:ascii="Times New Roman" w:hAnsi="Times New Roman"/>
          <w:spacing w:val="40"/>
          <w:sz w:val="19"/>
        </w:rPr>
        <w:t> </w:t>
      </w:r>
      <w:r>
        <w:rPr>
          <w:rFonts w:ascii="Times New Roman" w:hAnsi="Times New Roman"/>
          <w:sz w:val="19"/>
        </w:rPr>
        <w:t>de</w:t>
      </w:r>
      <w:r>
        <w:rPr>
          <w:rFonts w:ascii="Times New Roman" w:hAnsi="Times New Roman"/>
          <w:spacing w:val="40"/>
          <w:sz w:val="19"/>
        </w:rPr>
        <w:t> </w:t>
      </w:r>
      <w:r>
        <w:rPr>
          <w:rFonts w:ascii="Times New Roman" w:hAnsi="Times New Roman"/>
          <w:sz w:val="19"/>
        </w:rPr>
        <w:t>investigación,</w:t>
      </w:r>
      <w:r>
        <w:rPr>
          <w:rFonts w:ascii="Times New Roman" w:hAnsi="Times New Roman"/>
          <w:spacing w:val="40"/>
          <w:sz w:val="19"/>
        </w:rPr>
        <w:t> </w:t>
      </w:r>
      <w:r>
        <w:rPr>
          <w:rFonts w:ascii="Times New Roman" w:hAnsi="Times New Roman"/>
          <w:sz w:val="19"/>
        </w:rPr>
        <w:t>planificación</w:t>
      </w:r>
      <w:r>
        <w:rPr>
          <w:rFonts w:ascii="Times New Roman" w:hAnsi="Times New Roman"/>
          <w:spacing w:val="40"/>
          <w:sz w:val="19"/>
        </w:rPr>
        <w:t> </w:t>
      </w:r>
      <w:r>
        <w:rPr>
          <w:rFonts w:ascii="Times New Roman" w:hAnsi="Times New Roman"/>
          <w:sz w:val="19"/>
        </w:rPr>
        <w:t>y</w:t>
      </w:r>
      <w:r>
        <w:rPr>
          <w:rFonts w:ascii="Times New Roman" w:hAnsi="Times New Roman"/>
          <w:spacing w:val="40"/>
          <w:sz w:val="19"/>
        </w:rPr>
        <w:t> </w:t>
      </w:r>
      <w:r>
        <w:rPr>
          <w:rFonts w:ascii="Times New Roman" w:hAnsi="Times New Roman"/>
          <w:sz w:val="19"/>
        </w:rPr>
        <w:t>evaluación</w:t>
      </w:r>
      <w:r>
        <w:rPr>
          <w:rFonts w:ascii="Times New Roman" w:hAnsi="Times New Roman"/>
          <w:spacing w:val="40"/>
          <w:sz w:val="19"/>
        </w:rPr>
        <w:t> </w:t>
      </w:r>
      <w:r>
        <w:rPr>
          <w:rFonts w:ascii="Times New Roman" w:hAnsi="Times New Roman"/>
          <w:sz w:val="19"/>
        </w:rPr>
        <w:t>fortalecidas</w:t>
      </w:r>
      <w:r>
        <w:rPr>
          <w:rFonts w:ascii="Times New Roman" w:hAnsi="Times New Roman"/>
          <w:spacing w:val="40"/>
          <w:sz w:val="19"/>
        </w:rPr>
        <w:t> </w:t>
      </w:r>
      <w:r>
        <w:rPr>
          <w:rFonts w:ascii="Times New Roman" w:hAnsi="Times New Roman"/>
          <w:sz w:val="19"/>
        </w:rPr>
        <w:t>y</w:t>
      </w:r>
      <w:r>
        <w:rPr>
          <w:rFonts w:ascii="Times New Roman" w:hAnsi="Times New Roman"/>
          <w:spacing w:val="40"/>
          <w:sz w:val="19"/>
        </w:rPr>
        <w:t> </w:t>
      </w:r>
      <w:r>
        <w:rPr>
          <w:rFonts w:ascii="Times New Roman" w:hAnsi="Times New Roman"/>
          <w:sz w:val="19"/>
        </w:rPr>
        <w:t>con</w:t>
      </w:r>
      <w:r>
        <w:rPr>
          <w:rFonts w:ascii="Times New Roman" w:hAnsi="Times New Roman"/>
          <w:spacing w:val="40"/>
          <w:sz w:val="19"/>
        </w:rPr>
        <w:t> </w:t>
      </w:r>
      <w:r>
        <w:rPr>
          <w:rFonts w:ascii="Times New Roman" w:hAnsi="Times New Roman"/>
          <w:sz w:val="19"/>
        </w:rPr>
        <w:t>normativa actualizada para desarrollar estrategias integrales a nivel regional y territorial.</w:t>
      </w:r>
    </w:p>
    <w:p>
      <w:pPr>
        <w:spacing w:before="82"/>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5" w:space="237"/>
            <w:col w:w="1861"/>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28" w:type="dxa"/>
            <w:tcBorders>
              <w:left w:val="single" w:sz="2" w:space="0" w:color="000000"/>
              <w:bottom w:val="single" w:sz="12" w:space="0" w:color="000000"/>
              <w:right w:val="single" w:sz="2" w:space="0" w:color="000000"/>
            </w:tcBorders>
            <w:shd w:val="clear" w:color="auto" w:fill="E4E4E4"/>
          </w:tcPr>
          <w:p>
            <w:pPr>
              <w:pStyle w:val="TableParagraph"/>
              <w:spacing w:line="207" w:lineRule="exact"/>
              <w:ind w:left="2"/>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jc w:val="center"/>
              <w:rPr>
                <w:b/>
                <w:sz w:val="18"/>
              </w:rPr>
            </w:pPr>
            <w:r>
              <w:rPr>
                <w:b/>
                <w:spacing w:val="-2"/>
                <w:sz w:val="18"/>
              </w:rPr>
              <w:t>Justificación</w:t>
            </w:r>
          </w:p>
        </w:tc>
      </w:tr>
      <w:tr>
        <w:trPr>
          <w:trHeight w:val="702"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28" w:type="dxa"/>
            <w:tcBorders>
              <w:top w:val="single" w:sz="12" w:space="0" w:color="000000"/>
            </w:tcBorders>
          </w:tcPr>
          <w:p>
            <w:pPr>
              <w:pStyle w:val="TableParagraph"/>
              <w:ind w:left="42" w:right="40"/>
              <w:jc w:val="both"/>
              <w:rPr>
                <w:sz w:val="19"/>
              </w:rPr>
            </w:pPr>
            <w:r>
              <w:rPr>
                <w:sz w:val="19"/>
              </w:rPr>
              <w:t>PPPS</w:t>
            </w:r>
            <w:r>
              <w:rPr>
                <w:spacing w:val="-4"/>
                <w:sz w:val="19"/>
              </w:rPr>
              <w:t> </w:t>
            </w:r>
            <w:r>
              <w:rPr>
                <w:sz w:val="19"/>
              </w:rPr>
              <w:t>1.21.1:</w:t>
            </w:r>
            <w:r>
              <w:rPr>
                <w:spacing w:val="-4"/>
                <w:sz w:val="19"/>
              </w:rPr>
              <w:t> </w:t>
            </w:r>
            <w:r>
              <w:rPr>
                <w:sz w:val="19"/>
              </w:rPr>
              <w:t>Elaboración</w:t>
            </w:r>
            <w:r>
              <w:rPr>
                <w:spacing w:val="-5"/>
                <w:sz w:val="19"/>
              </w:rPr>
              <w:t> </w:t>
            </w:r>
            <w:r>
              <w:rPr>
                <w:sz w:val="19"/>
              </w:rPr>
              <w:t>de</w:t>
            </w:r>
            <w:r>
              <w:rPr>
                <w:spacing w:val="-5"/>
                <w:sz w:val="19"/>
              </w:rPr>
              <w:t> </w:t>
            </w:r>
            <w:r>
              <w:rPr>
                <w:sz w:val="19"/>
              </w:rPr>
              <w:t>plan</w:t>
            </w:r>
            <w:r>
              <w:rPr>
                <w:spacing w:val="-3"/>
                <w:sz w:val="19"/>
              </w:rPr>
              <w:t> </w:t>
            </w:r>
            <w:r>
              <w:rPr>
                <w:sz w:val="19"/>
              </w:rPr>
              <w:t>de</w:t>
            </w:r>
            <w:r>
              <w:rPr>
                <w:spacing w:val="-5"/>
                <w:sz w:val="19"/>
              </w:rPr>
              <w:t> </w:t>
            </w:r>
            <w:r>
              <w:rPr>
                <w:sz w:val="19"/>
              </w:rPr>
              <w:t>mejora</w:t>
            </w:r>
            <w:r>
              <w:rPr>
                <w:spacing w:val="-5"/>
                <w:sz w:val="19"/>
              </w:rPr>
              <w:t> </w:t>
            </w:r>
            <w:r>
              <w:rPr>
                <w:sz w:val="19"/>
              </w:rPr>
              <w:t>para</w:t>
            </w:r>
            <w:r>
              <w:rPr>
                <w:spacing w:val="-5"/>
                <w:sz w:val="19"/>
              </w:rPr>
              <w:t> </w:t>
            </w:r>
            <w:r>
              <w:rPr>
                <w:sz w:val="19"/>
              </w:rPr>
              <w:t>el fortalecimiento de las UIPER con recursos humanos y tecnológicos</w:t>
            </w:r>
          </w:p>
        </w:tc>
        <w:tc>
          <w:tcPr>
            <w:tcW w:w="4726" w:type="dxa"/>
            <w:tcBorders>
              <w:top w:val="single" w:sz="12" w:space="0" w:color="000000"/>
            </w:tcBorders>
          </w:tcPr>
          <w:p>
            <w:pPr>
              <w:pStyle w:val="TableParagraph"/>
              <w:ind w:left="47" w:right="41"/>
              <w:jc w:val="both"/>
              <w:rPr>
                <w:sz w:val="19"/>
              </w:rPr>
            </w:pPr>
            <w:r>
              <w:rPr>
                <w:sz w:val="19"/>
              </w:rPr>
              <w:t>Realizar la recopilación de la información de manera oportuna, ha requerido de un mayor proceso para la adecuada elaboración.</w:t>
            </w:r>
          </w:p>
        </w:tc>
      </w:tr>
    </w:tbl>
    <w:p>
      <w:pPr>
        <w:pStyle w:val="TableParagraph"/>
        <w:spacing w:after="0"/>
        <w:jc w:val="both"/>
        <w:rPr>
          <w:sz w:val="19"/>
        </w:rPr>
        <w:sectPr>
          <w:type w:val="continuous"/>
          <w:pgSz w:w="13370" w:h="17280"/>
          <w:pgMar w:header="507" w:footer="776" w:top="1120" w:bottom="1160" w:left="1275" w:right="992"/>
        </w:sectPr>
      </w:pPr>
    </w:p>
    <w:p>
      <w:pPr>
        <w:pStyle w:val="Heading4"/>
        <w:tabs>
          <w:tab w:pos="2030" w:val="left" w:leader="none"/>
        </w:tabs>
        <w:spacing w:line="237" w:lineRule="auto"/>
        <w:ind w:right="5976"/>
      </w:pPr>
      <w:r>
        <w:rPr/>
        <mc:AlternateContent>
          <mc:Choice Requires="wps">
            <w:drawing>
              <wp:anchor distT="0" distB="0" distL="0" distR="0" allowOverlap="1" layoutInCell="1" locked="0" behindDoc="0" simplePos="0" relativeHeight="15748096">
                <wp:simplePos x="0" y="0"/>
                <wp:positionH relativeFrom="page">
                  <wp:posOffset>5261030</wp:posOffset>
                </wp:positionH>
                <wp:positionV relativeFrom="paragraph">
                  <wp:posOffset>18237</wp:posOffset>
                </wp:positionV>
                <wp:extent cx="1934210" cy="59817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1934210" cy="598170"/>
                          <a:chExt cx="1934210" cy="598170"/>
                        </a:xfrm>
                      </wpg:grpSpPr>
                      <pic:pic>
                        <pic:nvPicPr>
                          <pic:cNvPr id="71" name="Image 71"/>
                          <pic:cNvPicPr/>
                        </pic:nvPicPr>
                        <pic:blipFill>
                          <a:blip r:embed="rId44" cstate="print"/>
                          <a:stretch>
                            <a:fillRect/>
                          </a:stretch>
                        </pic:blipFill>
                        <pic:spPr>
                          <a:xfrm>
                            <a:off x="0" y="321015"/>
                            <a:ext cx="1934114" cy="276697"/>
                          </a:xfrm>
                          <a:prstGeom prst="rect">
                            <a:avLst/>
                          </a:prstGeom>
                        </pic:spPr>
                      </pic:pic>
                      <wps:wsp>
                        <wps:cNvPr id="72" name="Graphic 72"/>
                        <wps:cNvSpPr/>
                        <wps:spPr>
                          <a:xfrm>
                            <a:off x="910915" y="0"/>
                            <a:ext cx="12700" cy="398145"/>
                          </a:xfrm>
                          <a:custGeom>
                            <a:avLst/>
                            <a:gdLst/>
                            <a:ahLst/>
                            <a:cxnLst/>
                            <a:rect l="l" t="t" r="r" b="b"/>
                            <a:pathLst>
                              <a:path w="12700" h="398145">
                                <a:moveTo>
                                  <a:pt x="3035" y="0"/>
                                </a:moveTo>
                                <a:lnTo>
                                  <a:pt x="0" y="0"/>
                                </a:lnTo>
                                <a:lnTo>
                                  <a:pt x="0" y="398068"/>
                                </a:lnTo>
                                <a:lnTo>
                                  <a:pt x="3035" y="398068"/>
                                </a:lnTo>
                                <a:lnTo>
                                  <a:pt x="3035" y="0"/>
                                </a:lnTo>
                                <a:close/>
                              </a:path>
                              <a:path w="12700" h="398145">
                                <a:moveTo>
                                  <a:pt x="12179" y="0"/>
                                </a:moveTo>
                                <a:lnTo>
                                  <a:pt x="9144" y="0"/>
                                </a:lnTo>
                                <a:lnTo>
                                  <a:pt x="9144" y="398068"/>
                                </a:lnTo>
                                <a:lnTo>
                                  <a:pt x="12179" y="398068"/>
                                </a:lnTo>
                                <a:lnTo>
                                  <a:pt x="12179" y="0"/>
                                </a:lnTo>
                                <a:close/>
                              </a:path>
                            </a:pathLst>
                          </a:custGeom>
                          <a:solidFill>
                            <a:srgbClr val="FFFFFF"/>
                          </a:solidFill>
                        </wps:spPr>
                        <wps:bodyPr wrap="square" lIns="0" tIns="0" rIns="0" bIns="0" rtlCol="0">
                          <a:prstTxWarp prst="textNoShape">
                            <a:avLst/>
                          </a:prstTxWarp>
                          <a:noAutofit/>
                        </wps:bodyPr>
                      </wps:wsp>
                      <wps:wsp>
                        <wps:cNvPr id="73" name="Textbox 73"/>
                        <wps:cNvSpPr txBox="1"/>
                        <wps:spPr>
                          <a:xfrm>
                            <a:off x="0" y="0"/>
                            <a:ext cx="1934210" cy="598170"/>
                          </a:xfrm>
                          <a:prstGeom prst="rect">
                            <a:avLst/>
                          </a:prstGeom>
                        </wps:spPr>
                        <wps:txbx>
                          <w:txbxContent>
                            <w:p>
                              <w:pPr>
                                <w:spacing w:before="1"/>
                                <w:ind w:left="905" w:right="0" w:firstLine="0"/>
                                <w:jc w:val="left"/>
                                <w:rPr>
                                  <w:rFonts w:ascii="Times New Roman"/>
                                  <w:b/>
                                  <w:sz w:val="22"/>
                                </w:rPr>
                              </w:pPr>
                              <w:r>
                                <w:rPr>
                                  <w:rFonts w:ascii="Times New Roman"/>
                                  <w:b/>
                                  <w:sz w:val="22"/>
                                </w:rPr>
                                <w:t>69,78</w:t>
                              </w:r>
                              <w:r>
                                <w:rPr>
                                  <w:rFonts w:ascii="Times New Roman"/>
                                  <w:b/>
                                  <w:spacing w:val="29"/>
                                  <w:sz w:val="22"/>
                                </w:rPr>
                                <w:t> </w:t>
                              </w:r>
                              <w:r>
                                <w:rPr>
                                  <w:rFonts w:ascii="Times New Roman"/>
                                  <w:b/>
                                  <w:spacing w:val="-10"/>
                                  <w:sz w:val="22"/>
                                </w:rPr>
                                <w:t>%</w:t>
                              </w:r>
                            </w:p>
                          </w:txbxContent>
                        </wps:txbx>
                        <wps:bodyPr wrap="square" lIns="0" tIns="0" rIns="0" bIns="0" rtlCol="0">
                          <a:noAutofit/>
                        </wps:bodyPr>
                      </wps:wsp>
                    </wpg:wgp>
                  </a:graphicData>
                </a:graphic>
              </wp:anchor>
            </w:drawing>
          </mc:Choice>
          <mc:Fallback>
            <w:pict>
              <v:group style="position:absolute;margin-left:414.254395pt;margin-top:1.436pt;width:152.3pt;height:47.1pt;mso-position-horizontal-relative:page;mso-position-vertical-relative:paragraph;z-index:15748096" id="docshapegroup35" coordorigin="8285,29" coordsize="3046,942">
                <v:shape style="position:absolute;left:8285;top:534;width:3046;height:436" type="#_x0000_t75" id="docshape36" stroked="false">
                  <v:imagedata r:id="rId44" o:title=""/>
                </v:shape>
                <v:shape style="position:absolute;left:9719;top:28;width:20;height:627" id="docshape37" coordorigin="9720,29" coordsize="20,627" path="m9724,29l9720,29,9720,656,9724,656,9724,29xm9739,29l9734,29,9734,656,9739,656,9739,29xe" filled="true" fillcolor="#ffffff" stroked="false">
                  <v:path arrowok="t"/>
                  <v:fill type="solid"/>
                </v:shape>
                <v:shape style="position:absolute;left:8285;top:28;width:3046;height:942" type="#_x0000_t202" id="docshape38" filled="false" stroked="false">
                  <v:textbox inset="0,0,0,0">
                    <w:txbxContent>
                      <w:p>
                        <w:pPr>
                          <w:spacing w:before="1"/>
                          <w:ind w:left="905" w:right="0" w:firstLine="0"/>
                          <w:jc w:val="left"/>
                          <w:rPr>
                            <w:rFonts w:ascii="Times New Roman"/>
                            <w:b/>
                            <w:sz w:val="22"/>
                          </w:rPr>
                        </w:pPr>
                        <w:r>
                          <w:rPr>
                            <w:rFonts w:ascii="Times New Roman"/>
                            <w:b/>
                            <w:sz w:val="22"/>
                          </w:rPr>
                          <w:t>69,78</w:t>
                        </w:r>
                        <w:r>
                          <w:rPr>
                            <w:rFonts w:ascii="Times New Roman"/>
                            <w:b/>
                            <w:spacing w:val="29"/>
                            <w:sz w:val="22"/>
                          </w:rPr>
                          <w:t> </w:t>
                        </w:r>
                        <w:r>
                          <w:rPr>
                            <w:rFonts w:ascii="Times New Roman"/>
                            <w:b/>
                            <w:spacing w:val="-10"/>
                            <w:sz w:val="22"/>
                          </w:rPr>
                          <w:t>%</w:t>
                        </w:r>
                      </w:p>
                    </w:txbxContent>
                  </v:textbox>
                  <w10:wrap type="none"/>
                </v:shape>
                <w10:wrap type="none"/>
              </v:group>
            </w:pict>
          </mc:Fallback>
        </mc:AlternateContent>
      </w:r>
      <w:r>
        <w:rPr>
          <w:spacing w:val="-4"/>
        </w:rPr>
        <w:t>Eje:</w:t>
      </w:r>
      <w:r>
        <w:rPr/>
        <w:tab/>
        <w:t>4:</w:t>
      </w:r>
      <w:r>
        <w:rPr>
          <w:spacing w:val="-10"/>
        </w:rPr>
        <w:t> </w:t>
      </w:r>
      <w:r>
        <w:rPr/>
        <w:t>Rectoría</w:t>
      </w:r>
      <w:r>
        <w:rPr>
          <w:spacing w:val="-8"/>
        </w:rPr>
        <w:t> </w:t>
      </w:r>
      <w:r>
        <w:rPr/>
        <w:t>Técnica</w:t>
      </w:r>
      <w:r>
        <w:rPr>
          <w:spacing w:val="-8"/>
        </w:rPr>
        <w:t> </w:t>
      </w:r>
      <w:r>
        <w:rPr/>
        <w:t>Social</w:t>
      </w:r>
      <w:r>
        <w:rPr>
          <w:spacing w:val="-10"/>
        </w:rPr>
        <w:t> </w:t>
      </w:r>
      <w:r>
        <w:rPr/>
        <w:t>y </w:t>
      </w:r>
      <w:r>
        <w:rPr>
          <w:spacing w:val="-2"/>
        </w:rPr>
        <w:t>Articulación</w:t>
      </w:r>
    </w:p>
    <w:p>
      <w:pPr>
        <w:pStyle w:val="BodyText"/>
        <w:spacing w:before="33"/>
        <w:rPr>
          <w:rFonts w:ascii="Times New Roman"/>
          <w:b/>
          <w:sz w:val="19"/>
        </w:rPr>
      </w:pPr>
    </w:p>
    <w:p>
      <w:pPr>
        <w:pStyle w:val="ListParagraph"/>
        <w:numPr>
          <w:ilvl w:val="0"/>
          <w:numId w:val="7"/>
        </w:numPr>
        <w:tabs>
          <w:tab w:pos="426" w:val="left" w:leader="none"/>
        </w:tabs>
        <w:spacing w:line="240" w:lineRule="auto" w:before="0" w:after="0"/>
        <w:ind w:left="426" w:right="0" w:hanging="179"/>
        <w:jc w:val="left"/>
        <w:rPr>
          <w:rFonts w:ascii="Times New Roman"/>
          <w:sz w:val="19"/>
        </w:rPr>
      </w:pP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7"/>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1" simplePos="0" relativeHeight="486304256">
            <wp:simplePos x="0" y="0"/>
            <wp:positionH relativeFrom="page">
              <wp:posOffset>1200791</wp:posOffset>
            </wp:positionH>
            <wp:positionV relativeFrom="paragraph">
              <wp:posOffset>2626128</wp:posOffset>
            </wp:positionV>
            <wp:extent cx="5989374" cy="1409700"/>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45" cstate="print"/>
                    <a:stretch>
                      <a:fillRect/>
                    </a:stretch>
                  </pic:blipFill>
                  <pic:spPr>
                    <a:xfrm>
                      <a:off x="0" y="0"/>
                      <a:ext cx="5989374" cy="1409700"/>
                    </a:xfrm>
                    <a:prstGeom prst="rect">
                      <a:avLst/>
                    </a:prstGeom>
                  </pic:spPr>
                </pic:pic>
              </a:graphicData>
            </a:graphic>
          </wp:anchor>
        </w:drawing>
      </w:r>
      <w:r>
        <w:rPr>
          <w:rFonts w:ascii="Times New Roman" w:hAnsi="Times New Roman"/>
          <w:b/>
          <w:spacing w:val="-4"/>
          <w:sz w:val="18"/>
        </w:rPr>
        <w:t>IMAS</w:t>
      </w:r>
      <w:r>
        <w:rPr>
          <w:rFonts w:ascii="Times New Roman" w:hAnsi="Times New Roman"/>
          <w:b/>
          <w:sz w:val="18"/>
        </w:rPr>
        <w:tab/>
        <w:t>4:</w:t>
      </w:r>
      <w:r>
        <w:rPr>
          <w:rFonts w:ascii="Times New Roman" w:hAnsi="Times New Roman"/>
          <w:b/>
          <w:spacing w:val="-1"/>
          <w:sz w:val="18"/>
        </w:rPr>
        <w:t> </w:t>
      </w:r>
      <w:r>
        <w:rPr>
          <w:rFonts w:ascii="Times New Roman" w:hAnsi="Times New Roman"/>
          <w:b/>
          <w:sz w:val="18"/>
        </w:rPr>
        <w:t>Rectoría</w:t>
      </w:r>
      <w:r>
        <w:rPr>
          <w:rFonts w:ascii="Times New Roman" w:hAnsi="Times New Roman"/>
          <w:b/>
          <w:spacing w:val="-1"/>
          <w:sz w:val="18"/>
        </w:rPr>
        <w:t> </w:t>
      </w:r>
      <w:r>
        <w:rPr>
          <w:rFonts w:ascii="Times New Roman" w:hAnsi="Times New Roman"/>
          <w:b/>
          <w:sz w:val="18"/>
        </w:rPr>
        <w:t>Técnica</w:t>
      </w:r>
      <w:r>
        <w:rPr>
          <w:rFonts w:ascii="Times New Roman" w:hAnsi="Times New Roman"/>
          <w:b/>
          <w:spacing w:val="-2"/>
          <w:sz w:val="18"/>
        </w:rPr>
        <w:t> </w:t>
      </w:r>
      <w:r>
        <w:rPr>
          <w:rFonts w:ascii="Times New Roman" w:hAnsi="Times New Roman"/>
          <w:b/>
          <w:sz w:val="18"/>
        </w:rPr>
        <w:t>Social</w:t>
      </w:r>
      <w:r>
        <w:rPr>
          <w:rFonts w:ascii="Times New Roman" w:hAnsi="Times New Roman"/>
          <w:b/>
          <w:spacing w:val="-2"/>
          <w:sz w:val="18"/>
        </w:rPr>
        <w:t> </w:t>
      </w:r>
      <w:r>
        <w:rPr>
          <w:rFonts w:ascii="Times New Roman" w:hAnsi="Times New Roman"/>
          <w:b/>
          <w:sz w:val="18"/>
        </w:rPr>
        <w:t>y</w:t>
      </w:r>
      <w:r>
        <w:rPr>
          <w:rFonts w:ascii="Times New Roman" w:hAnsi="Times New Roman"/>
          <w:b/>
          <w:spacing w:val="-1"/>
          <w:sz w:val="18"/>
        </w:rPr>
        <w:t> </w:t>
      </w:r>
      <w:r>
        <w:rPr>
          <w:rFonts w:ascii="Times New Roman" w:hAnsi="Times New Roman"/>
          <w:b/>
          <w:spacing w:val="-2"/>
          <w:sz w:val="18"/>
        </w:rPr>
        <w:t>Articulación</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60"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left="6" w:right="983"/>
              <w:jc w:val="center"/>
              <w:rPr>
                <w:sz w:val="19"/>
              </w:rPr>
            </w:pPr>
            <w:r>
              <w:rPr>
                <w:spacing w:val="-5"/>
                <w:sz w:val="19"/>
              </w:rPr>
              <w:t>10</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right="983"/>
              <w:jc w:val="center"/>
              <w:rPr>
                <w:sz w:val="19"/>
              </w:rPr>
            </w:pPr>
            <w:r>
              <w:rPr>
                <w:spacing w:val="-10"/>
                <w:sz w:val="19"/>
              </w:rPr>
              <w:t>8</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0</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right="983"/>
              <w:jc w:val="center"/>
              <w:rPr>
                <w:sz w:val="19"/>
              </w:rPr>
            </w:pPr>
            <w:r>
              <w:rPr>
                <w:spacing w:val="-10"/>
                <w:sz w:val="19"/>
              </w:rPr>
              <w:t>2</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606784">
                <wp:simplePos x="0" y="0"/>
                <wp:positionH relativeFrom="page">
                  <wp:posOffset>1106728</wp:posOffset>
                </wp:positionH>
                <wp:positionV relativeFrom="paragraph">
                  <wp:posOffset>301383</wp:posOffset>
                </wp:positionV>
                <wp:extent cx="6210300" cy="1562735"/>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3097pt;width:489pt;height:123.05pt;mso-position-horizontal-relative:page;mso-position-vertical-relative:paragraph;z-index:-15709696;mso-wrap-distance-left:0;mso-wrap-distance-right:0" id="docshape39"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8"/>
        <w:rPr>
          <w:rFonts w:ascii="Times New Roman"/>
          <w:b/>
          <w:sz w:val="18"/>
        </w:rPr>
      </w:pPr>
    </w:p>
    <w:p>
      <w:pPr>
        <w:spacing w:before="0"/>
        <w:ind w:left="208" w:right="0" w:firstLine="0"/>
        <w:jc w:val="left"/>
        <w:rPr>
          <w:rFonts w:ascii="Times New Roman" w:hAnsi="Times New Roman"/>
          <w:sz w:val="19"/>
        </w:rPr>
      </w:pPr>
      <w:r>
        <w:rPr>
          <w:rFonts w:ascii="Times New Roman" w:hAnsi="Times New Roman"/>
          <w:sz w:val="19"/>
        </w:rPr>
        <w:t>Por</w:t>
      </w:r>
      <w:r>
        <w:rPr>
          <w:rFonts w:ascii="Times New Roman" w:hAnsi="Times New Roman"/>
          <w:spacing w:val="-7"/>
          <w:sz w:val="19"/>
        </w:rPr>
        <w:t> </w:t>
      </w:r>
      <w:r>
        <w:rPr>
          <w:rFonts w:ascii="Times New Roman" w:hAnsi="Times New Roman"/>
          <w:sz w:val="19"/>
        </w:rPr>
        <w:t>otra</w:t>
      </w:r>
      <w:r>
        <w:rPr>
          <w:rFonts w:ascii="Times New Roman" w:hAnsi="Times New Roman"/>
          <w:spacing w:val="-6"/>
          <w:sz w:val="19"/>
        </w:rPr>
        <w:t> </w:t>
      </w:r>
      <w:r>
        <w:rPr>
          <w:rFonts w:ascii="Times New Roman" w:hAnsi="Times New Roman"/>
          <w:sz w:val="19"/>
        </w:rPr>
        <w:t>parte,</w:t>
      </w:r>
      <w:r>
        <w:rPr>
          <w:rFonts w:ascii="Times New Roman" w:hAnsi="Times New Roman"/>
          <w:spacing w:val="-5"/>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5"/>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reportaron</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avance</w:t>
      </w:r>
      <w:r>
        <w:rPr>
          <w:rFonts w:ascii="Times New Roman" w:hAnsi="Times New Roman"/>
          <w:spacing w:val="-6"/>
          <w:sz w:val="19"/>
        </w:rPr>
        <w:t> </w:t>
      </w:r>
      <w:r>
        <w:rPr>
          <w:rFonts w:ascii="Times New Roman" w:hAnsi="Times New Roman"/>
          <w:spacing w:val="-2"/>
          <w:sz w:val="19"/>
        </w:rPr>
        <w:t>crítico.</w:t>
      </w:r>
    </w:p>
    <w:p>
      <w:pPr>
        <w:pStyle w:val="BodyText"/>
        <w:rPr>
          <w:rFonts w:ascii="Times New Roman"/>
          <w:sz w:val="19"/>
        </w:rPr>
      </w:pPr>
    </w:p>
    <w:p>
      <w:pPr>
        <w:pStyle w:val="BodyText"/>
        <w:spacing w:before="64"/>
        <w:rPr>
          <w:rFonts w:ascii="Times New Roman"/>
          <w:sz w:val="19"/>
        </w:rPr>
      </w:pPr>
    </w:p>
    <w:p>
      <w:pPr>
        <w:spacing w:before="0"/>
        <w:ind w:left="208"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0" simplePos="0" relativeHeight="15749120">
            <wp:simplePos x="0" y="0"/>
            <wp:positionH relativeFrom="page">
              <wp:posOffset>7333615</wp:posOffset>
            </wp:positionH>
            <wp:positionV relativeFrom="paragraph">
              <wp:posOffset>323955</wp:posOffset>
            </wp:positionV>
            <wp:extent cx="199390" cy="162559"/>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34" cstate="print"/>
                    <a:stretch>
                      <a:fillRect/>
                    </a:stretch>
                  </pic:blipFill>
                  <pic:spPr>
                    <a:xfrm>
                      <a:off x="0" y="0"/>
                      <a:ext cx="199390" cy="162559"/>
                    </a:xfrm>
                    <a:prstGeom prst="rect">
                      <a:avLst/>
                    </a:prstGeom>
                  </pic:spPr>
                </pic:pic>
              </a:graphicData>
            </a:graphic>
          </wp:anchor>
        </w:drawing>
      </w:r>
      <w:r>
        <w:rPr>
          <w:rFonts w:ascii="Times New Roman" w:hAnsi="Times New Roman"/>
          <w:b/>
          <w:sz w:val="18"/>
        </w:rPr>
        <w:t>Detalle</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metas</w:t>
      </w:r>
      <w:r>
        <w:rPr>
          <w:rFonts w:ascii="Times New Roman" w:hAnsi="Times New Roman"/>
          <w:b/>
          <w:spacing w:val="-1"/>
          <w:sz w:val="18"/>
        </w:rPr>
        <w:t> </w:t>
      </w:r>
      <w:r>
        <w:rPr>
          <w:rFonts w:ascii="Times New Roman" w:hAnsi="Times New Roman"/>
          <w:b/>
          <w:sz w:val="18"/>
        </w:rPr>
        <w:t>con</w:t>
      </w:r>
      <w:r>
        <w:rPr>
          <w:rFonts w:ascii="Times New Roman" w:hAnsi="Times New Roman"/>
          <w:b/>
          <w:spacing w:val="-3"/>
          <w:sz w:val="18"/>
        </w:rPr>
        <w:t> </w:t>
      </w:r>
      <w:r>
        <w:rPr>
          <w:rFonts w:ascii="Times New Roman" w:hAnsi="Times New Roman"/>
          <w:b/>
          <w:sz w:val="18"/>
        </w:rPr>
        <w:t>avance</w:t>
      </w:r>
      <w:r>
        <w:rPr>
          <w:rFonts w:ascii="Times New Roman" w:hAnsi="Times New Roman"/>
          <w:b/>
          <w:spacing w:val="-1"/>
          <w:sz w:val="18"/>
        </w:rPr>
        <w:t> </w:t>
      </w:r>
      <w:r>
        <w:rPr>
          <w:rFonts w:ascii="Times New Roman" w:hAnsi="Times New Roman"/>
          <w:b/>
          <w:spacing w:val="-2"/>
          <w:sz w:val="18"/>
        </w:rPr>
        <w:t>crítico</w:t>
      </w:r>
    </w:p>
    <w:p>
      <w:pPr>
        <w:pStyle w:val="BodyText"/>
        <w:spacing w:before="5"/>
        <w:rPr>
          <w:rFonts w:ascii="Times New Roman"/>
          <w:b/>
          <w:sz w:val="18"/>
        </w:rPr>
      </w:pPr>
    </w:p>
    <w:p>
      <w:pPr>
        <w:pStyle w:val="BodyText"/>
        <w:spacing w:after="0"/>
        <w:rPr>
          <w:rFonts w:ascii="Times New Roman"/>
          <w:b/>
          <w:sz w:val="18"/>
        </w:rPr>
        <w:sectPr>
          <w:pgSz w:w="13370" w:h="17280"/>
          <w:pgMar w:header="507" w:footer="776" w:top="1340" w:bottom="1060" w:left="1275" w:right="992"/>
        </w:sectPr>
      </w:pPr>
    </w:p>
    <w:p>
      <w:pPr>
        <w:tabs>
          <w:tab w:pos="1648" w:val="left" w:leader="none"/>
        </w:tabs>
        <w:spacing w:before="92"/>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49632">
            <wp:simplePos x="0" y="0"/>
            <wp:positionH relativeFrom="page">
              <wp:posOffset>7333615</wp:posOffset>
            </wp:positionH>
            <wp:positionV relativeFrom="paragraph">
              <wp:posOffset>988823</wp:posOffset>
            </wp:positionV>
            <wp:extent cx="199390" cy="164592"/>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46" cstate="print"/>
                    <a:stretch>
                      <a:fillRect/>
                    </a:stretch>
                  </pic:blipFill>
                  <pic:spPr>
                    <a:xfrm>
                      <a:off x="0" y="0"/>
                      <a:ext cx="199390" cy="164592"/>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4.1.1 Modelo de Intervención Interinstitucional del Sector Social (MIISS) elaborado de forma participativa y consensuado con entidades del sector.</w:t>
      </w:r>
    </w:p>
    <w:p>
      <w:pPr>
        <w:spacing w:before="93"/>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5" w:space="236"/>
            <w:col w:w="1862"/>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7"/>
        <w:rPr>
          <w:rFonts w:ascii="Times New Roman"/>
          <w:sz w:val="20"/>
        </w:rPr>
      </w:pPr>
    </w:p>
    <w:p>
      <w:pPr>
        <w:pStyle w:val="BodyText"/>
        <w:spacing w:after="0"/>
        <w:rPr>
          <w:rFonts w:ascii="Times New Roman"/>
          <w:sz w:val="20"/>
        </w:rPr>
        <w:sectPr>
          <w:type w:val="continuous"/>
          <w:pgSz w:w="13370" w:h="17280"/>
          <w:pgMar w:header="507" w:footer="776" w:top="1120" w:bottom="1160" w:left="1275" w:right="992"/>
        </w:sectPr>
      </w:pPr>
    </w:p>
    <w:p>
      <w:pPr>
        <w:tabs>
          <w:tab w:pos="1648" w:val="left" w:leader="none"/>
        </w:tabs>
        <w:spacing w:before="92"/>
        <w:ind w:left="1648" w:right="38" w:hanging="1440"/>
        <w:jc w:val="left"/>
        <w:rPr>
          <w:rFonts w:ascii="Times New Roman" w:hAnsi="Times New Roman"/>
          <w:sz w:val="19"/>
        </w:rPr>
      </w:pPr>
      <w:r>
        <w:rPr>
          <w:rFonts w:ascii="Times New Roman" w:hAnsi="Times New Roman"/>
          <w:b/>
          <w:position w:val="1"/>
          <w:sz w:val="18"/>
        </w:rPr>
        <w:t>Resultado PEI</w:t>
        <w:tab/>
      </w:r>
      <w:r>
        <w:rPr>
          <w:rFonts w:ascii="Times New Roman" w:hAnsi="Times New Roman"/>
          <w:sz w:val="19"/>
        </w:rPr>
        <w:t>4.2.2 Estructura de articulación interinstitucional de la oferta de servicios sociales diseñada y</w:t>
      </w:r>
      <w:r>
        <w:rPr>
          <w:rFonts w:ascii="Times New Roman" w:hAnsi="Times New Roman"/>
          <w:spacing w:val="40"/>
          <w:sz w:val="19"/>
        </w:rPr>
        <w:t> </w:t>
      </w:r>
      <w:r>
        <w:rPr>
          <w:rFonts w:ascii="Times New Roman" w:hAnsi="Times New Roman"/>
          <w:spacing w:val="-2"/>
          <w:sz w:val="19"/>
        </w:rPr>
        <w:t>ejecutándose.</w:t>
      </w:r>
    </w:p>
    <w:p>
      <w:pPr>
        <w:spacing w:before="93"/>
        <w:ind w:left="208" w:right="0" w:firstLine="0"/>
        <w:jc w:val="left"/>
        <w:rPr>
          <w:rFonts w:ascii="Times New Roman"/>
          <w:sz w:val="19"/>
        </w:rPr>
      </w:pPr>
      <w:r>
        <w:rPr/>
        <w:br w:type="column"/>
      </w:r>
      <w:r>
        <w:rPr>
          <w:rFonts w:ascii="Times New Roman"/>
          <w:sz w:val="19"/>
        </w:rPr>
        <w:t>20,00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776" w:top="1120" w:bottom="1160" w:left="1275" w:right="992"/>
          <w:cols w:num="2" w:equalWidth="0">
            <w:col w:w="9007" w:space="141"/>
            <w:col w:w="1955"/>
          </w:cols>
        </w:sectPr>
      </w:pPr>
    </w:p>
    <w:p>
      <w:pPr>
        <w:pStyle w:val="BodyText"/>
        <w:spacing w:before="2"/>
        <w:rPr>
          <w:rFonts w:ascii="Times New Roman"/>
          <w:sz w:val="14"/>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702"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tcBorders>
          </w:tcPr>
          <w:p>
            <w:pPr>
              <w:pStyle w:val="TableParagraph"/>
              <w:ind w:left="42" w:right="44"/>
              <w:jc w:val="both"/>
              <w:rPr>
                <w:sz w:val="19"/>
              </w:rPr>
            </w:pPr>
            <w:r>
              <w:rPr>
                <w:sz w:val="19"/>
              </w:rPr>
              <w:t>PAC 2.2.4.1: Sesiones de revisión de oferta de servicios sociales y su financiamiento con instituciones del sector.</w:t>
            </w:r>
          </w:p>
        </w:tc>
        <w:tc>
          <w:tcPr>
            <w:tcW w:w="4726" w:type="dxa"/>
            <w:tcBorders>
              <w:top w:val="single" w:sz="12" w:space="0" w:color="000000"/>
            </w:tcBorders>
          </w:tcPr>
          <w:p>
            <w:pPr>
              <w:pStyle w:val="TableParagraph"/>
              <w:spacing w:line="218" w:lineRule="exact"/>
              <w:ind w:left="45"/>
              <w:rPr>
                <w:sz w:val="19"/>
              </w:rPr>
            </w:pPr>
            <w:r>
              <w:rPr>
                <w:sz w:val="19"/>
              </w:rPr>
              <w:t>Se</w:t>
            </w:r>
            <w:r>
              <w:rPr>
                <w:spacing w:val="-6"/>
                <w:sz w:val="19"/>
              </w:rPr>
              <w:t> </w:t>
            </w:r>
            <w:r>
              <w:rPr>
                <w:sz w:val="19"/>
              </w:rPr>
              <w:t>trasladan</w:t>
            </w:r>
            <w:r>
              <w:rPr>
                <w:spacing w:val="-4"/>
                <w:sz w:val="19"/>
              </w:rPr>
              <w:t> </w:t>
            </w:r>
            <w:r>
              <w:rPr>
                <w:sz w:val="19"/>
              </w:rPr>
              <w:t>las</w:t>
            </w:r>
            <w:r>
              <w:rPr>
                <w:spacing w:val="-5"/>
                <w:sz w:val="19"/>
              </w:rPr>
              <w:t> </w:t>
            </w:r>
            <w:r>
              <w:rPr>
                <w:sz w:val="19"/>
              </w:rPr>
              <w:t>sesiones</w:t>
            </w:r>
            <w:r>
              <w:rPr>
                <w:spacing w:val="-5"/>
                <w:sz w:val="19"/>
              </w:rPr>
              <w:t> </w:t>
            </w:r>
            <w:r>
              <w:rPr>
                <w:sz w:val="19"/>
              </w:rPr>
              <w:t>para</w:t>
            </w:r>
            <w:r>
              <w:rPr>
                <w:spacing w:val="-6"/>
                <w:sz w:val="19"/>
              </w:rPr>
              <w:t> </w:t>
            </w:r>
            <w:r>
              <w:rPr>
                <w:sz w:val="19"/>
              </w:rPr>
              <w:t>el</w:t>
            </w:r>
            <w:r>
              <w:rPr>
                <w:spacing w:val="-7"/>
                <w:sz w:val="19"/>
              </w:rPr>
              <w:t> </w:t>
            </w:r>
            <w:r>
              <w:rPr>
                <w:sz w:val="19"/>
              </w:rPr>
              <w:t>segundo</w:t>
            </w:r>
            <w:r>
              <w:rPr>
                <w:spacing w:val="-6"/>
                <w:sz w:val="19"/>
              </w:rPr>
              <w:t> </w:t>
            </w:r>
            <w:r>
              <w:rPr>
                <w:spacing w:val="-2"/>
                <w:sz w:val="19"/>
              </w:rPr>
              <w:t>trimestre.</w:t>
            </w:r>
          </w:p>
        </w:tc>
      </w:tr>
    </w:tbl>
    <w:p>
      <w:pPr>
        <w:pStyle w:val="TableParagraph"/>
        <w:spacing w:after="0" w:line="218" w:lineRule="exact"/>
        <w:rPr>
          <w:sz w:val="19"/>
        </w:rPr>
        <w:sectPr>
          <w:type w:val="continuous"/>
          <w:pgSz w:w="13370" w:h="17280"/>
          <w:pgMar w:header="507" w:footer="776" w:top="1120" w:bottom="1160" w:left="1275" w:right="992"/>
        </w:sectPr>
      </w:pPr>
    </w:p>
    <w:p>
      <w:pPr>
        <w:pStyle w:val="Heading4"/>
        <w:tabs>
          <w:tab w:pos="2030" w:val="left" w:leader="none"/>
        </w:tabs>
        <w:spacing w:line="237" w:lineRule="auto"/>
        <w:ind w:right="5448"/>
      </w:pPr>
      <w:r>
        <w:rPr/>
        <mc:AlternateContent>
          <mc:Choice Requires="wps">
            <w:drawing>
              <wp:anchor distT="0" distB="0" distL="0" distR="0" allowOverlap="1" layoutInCell="1" locked="0" behindDoc="0" simplePos="0" relativeHeight="15750656">
                <wp:simplePos x="0" y="0"/>
                <wp:positionH relativeFrom="page">
                  <wp:posOffset>5261030</wp:posOffset>
                </wp:positionH>
                <wp:positionV relativeFrom="paragraph">
                  <wp:posOffset>18237</wp:posOffset>
                </wp:positionV>
                <wp:extent cx="1934210" cy="59817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1934210" cy="598170"/>
                          <a:chExt cx="1934210" cy="598170"/>
                        </a:xfrm>
                      </wpg:grpSpPr>
                      <pic:pic>
                        <pic:nvPicPr>
                          <pic:cNvPr id="83" name="Image 83"/>
                          <pic:cNvPicPr/>
                        </pic:nvPicPr>
                        <pic:blipFill>
                          <a:blip r:embed="rId49" cstate="print"/>
                          <a:stretch>
                            <a:fillRect/>
                          </a:stretch>
                        </pic:blipFill>
                        <pic:spPr>
                          <a:xfrm>
                            <a:off x="0" y="321015"/>
                            <a:ext cx="1934114" cy="276697"/>
                          </a:xfrm>
                          <a:prstGeom prst="rect">
                            <a:avLst/>
                          </a:prstGeom>
                        </pic:spPr>
                      </pic:pic>
                      <wps:wsp>
                        <wps:cNvPr id="84" name="Graphic 84"/>
                        <wps:cNvSpPr/>
                        <wps:spPr>
                          <a:xfrm>
                            <a:off x="910915" y="0"/>
                            <a:ext cx="12700" cy="398145"/>
                          </a:xfrm>
                          <a:custGeom>
                            <a:avLst/>
                            <a:gdLst/>
                            <a:ahLst/>
                            <a:cxnLst/>
                            <a:rect l="l" t="t" r="r" b="b"/>
                            <a:pathLst>
                              <a:path w="12700" h="398145">
                                <a:moveTo>
                                  <a:pt x="3035" y="0"/>
                                </a:moveTo>
                                <a:lnTo>
                                  <a:pt x="0" y="0"/>
                                </a:lnTo>
                                <a:lnTo>
                                  <a:pt x="0" y="398068"/>
                                </a:lnTo>
                                <a:lnTo>
                                  <a:pt x="3035" y="398068"/>
                                </a:lnTo>
                                <a:lnTo>
                                  <a:pt x="3035" y="0"/>
                                </a:lnTo>
                                <a:close/>
                              </a:path>
                              <a:path w="12700" h="398145">
                                <a:moveTo>
                                  <a:pt x="12179" y="0"/>
                                </a:moveTo>
                                <a:lnTo>
                                  <a:pt x="9144" y="0"/>
                                </a:lnTo>
                                <a:lnTo>
                                  <a:pt x="9144" y="398068"/>
                                </a:lnTo>
                                <a:lnTo>
                                  <a:pt x="12179" y="398068"/>
                                </a:lnTo>
                                <a:lnTo>
                                  <a:pt x="12179" y="0"/>
                                </a:lnTo>
                                <a:close/>
                              </a:path>
                            </a:pathLst>
                          </a:custGeom>
                          <a:solidFill>
                            <a:srgbClr val="FFFFFF"/>
                          </a:solidFill>
                        </wps:spPr>
                        <wps:bodyPr wrap="square" lIns="0" tIns="0" rIns="0" bIns="0" rtlCol="0">
                          <a:prstTxWarp prst="textNoShape">
                            <a:avLst/>
                          </a:prstTxWarp>
                          <a:noAutofit/>
                        </wps:bodyPr>
                      </wps:wsp>
                      <wps:wsp>
                        <wps:cNvPr id="85" name="Textbox 85"/>
                        <wps:cNvSpPr txBox="1"/>
                        <wps:spPr>
                          <a:xfrm>
                            <a:off x="0" y="0"/>
                            <a:ext cx="1934210" cy="598170"/>
                          </a:xfrm>
                          <a:prstGeom prst="rect">
                            <a:avLst/>
                          </a:prstGeom>
                        </wps:spPr>
                        <wps:txbx>
                          <w:txbxContent>
                            <w:p>
                              <w:pPr>
                                <w:spacing w:before="1"/>
                                <w:ind w:left="905" w:right="0" w:firstLine="0"/>
                                <w:jc w:val="left"/>
                                <w:rPr>
                                  <w:rFonts w:ascii="Times New Roman"/>
                                  <w:b/>
                                  <w:sz w:val="22"/>
                                </w:rPr>
                              </w:pPr>
                              <w:r>
                                <w:rPr>
                                  <w:rFonts w:ascii="Times New Roman"/>
                                  <w:b/>
                                  <w:sz w:val="22"/>
                                </w:rPr>
                                <w:t>42,70</w:t>
                              </w:r>
                              <w:r>
                                <w:rPr>
                                  <w:rFonts w:ascii="Times New Roman"/>
                                  <w:b/>
                                  <w:spacing w:val="29"/>
                                  <w:sz w:val="22"/>
                                </w:rPr>
                                <w:t> </w:t>
                              </w:r>
                              <w:r>
                                <w:rPr>
                                  <w:rFonts w:ascii="Times New Roman"/>
                                  <w:b/>
                                  <w:spacing w:val="-10"/>
                                  <w:sz w:val="22"/>
                                </w:rPr>
                                <w:t>%</w:t>
                              </w:r>
                            </w:p>
                          </w:txbxContent>
                        </wps:txbx>
                        <wps:bodyPr wrap="square" lIns="0" tIns="0" rIns="0" bIns="0" rtlCol="0">
                          <a:noAutofit/>
                        </wps:bodyPr>
                      </wps:wsp>
                    </wpg:wgp>
                  </a:graphicData>
                </a:graphic>
              </wp:anchor>
            </w:drawing>
          </mc:Choice>
          <mc:Fallback>
            <w:pict>
              <v:group style="position:absolute;margin-left:414.254395pt;margin-top:1.436pt;width:152.3pt;height:47.1pt;mso-position-horizontal-relative:page;mso-position-vertical-relative:paragraph;z-index:15750656" id="docshapegroup42" coordorigin="8285,29" coordsize="3046,942">
                <v:shape style="position:absolute;left:8285;top:534;width:3046;height:436" type="#_x0000_t75" id="docshape43" stroked="false">
                  <v:imagedata r:id="rId49" o:title=""/>
                </v:shape>
                <v:shape style="position:absolute;left:9719;top:28;width:20;height:627" id="docshape44" coordorigin="9720,29" coordsize="20,627" path="m9724,29l9720,29,9720,656,9724,656,9724,29xm9739,29l9734,29,9734,656,9739,656,9739,29xe" filled="true" fillcolor="#ffffff" stroked="false">
                  <v:path arrowok="t"/>
                  <v:fill type="solid"/>
                </v:shape>
                <v:shape style="position:absolute;left:8285;top:28;width:3046;height:942" type="#_x0000_t202" id="docshape45" filled="false" stroked="false">
                  <v:textbox inset="0,0,0,0">
                    <w:txbxContent>
                      <w:p>
                        <w:pPr>
                          <w:spacing w:before="1"/>
                          <w:ind w:left="905" w:right="0" w:firstLine="0"/>
                          <w:jc w:val="left"/>
                          <w:rPr>
                            <w:rFonts w:ascii="Times New Roman"/>
                            <w:b/>
                            <w:sz w:val="22"/>
                          </w:rPr>
                        </w:pPr>
                        <w:r>
                          <w:rPr>
                            <w:rFonts w:ascii="Times New Roman"/>
                            <w:b/>
                            <w:sz w:val="22"/>
                          </w:rPr>
                          <w:t>42,70</w:t>
                        </w:r>
                        <w:r>
                          <w:rPr>
                            <w:rFonts w:ascii="Times New Roman"/>
                            <w:b/>
                            <w:spacing w:val="29"/>
                            <w:sz w:val="22"/>
                          </w:rPr>
                          <w:t> </w:t>
                        </w:r>
                        <w:r>
                          <w:rPr>
                            <w:rFonts w:ascii="Times New Roman"/>
                            <w:b/>
                            <w:spacing w:val="-10"/>
                            <w:sz w:val="22"/>
                          </w:rPr>
                          <w:t>%</w:t>
                        </w:r>
                      </w:p>
                    </w:txbxContent>
                  </v:textbox>
                  <w10:wrap type="none"/>
                </v:shape>
                <w10:wrap type="none"/>
              </v:group>
            </w:pict>
          </mc:Fallback>
        </mc:AlternateContent>
      </w:r>
      <w:r>
        <w:rPr>
          <w:spacing w:val="-4"/>
        </w:rPr>
        <w:t>Eje:</w:t>
      </w:r>
      <w:r>
        <w:rPr/>
        <w:tab/>
        <w:t>5:</w:t>
      </w:r>
      <w:r>
        <w:rPr>
          <w:spacing w:val="-7"/>
        </w:rPr>
        <w:t> </w:t>
      </w:r>
      <w:r>
        <w:rPr/>
        <w:t>Gestión</w:t>
      </w:r>
      <w:r>
        <w:rPr>
          <w:spacing w:val="-6"/>
        </w:rPr>
        <w:t> </w:t>
      </w:r>
      <w:r>
        <w:rPr/>
        <w:t>de</w:t>
      </w:r>
      <w:r>
        <w:rPr>
          <w:spacing w:val="-7"/>
        </w:rPr>
        <w:t> </w:t>
      </w:r>
      <w:r>
        <w:rPr/>
        <w:t>recursos</w:t>
      </w:r>
      <w:r>
        <w:rPr>
          <w:spacing w:val="-8"/>
        </w:rPr>
        <w:t> </w:t>
      </w:r>
      <w:r>
        <w:rPr/>
        <w:t>y</w:t>
      </w:r>
      <w:r>
        <w:rPr>
          <w:spacing w:val="-7"/>
        </w:rPr>
        <w:t> </w:t>
      </w:r>
      <w:r>
        <w:rPr/>
        <w:t>alianzas </w:t>
      </w:r>
      <w:r>
        <w:rPr>
          <w:spacing w:val="-2"/>
        </w:rPr>
        <w:t>estratégicas</w:t>
      </w:r>
    </w:p>
    <w:p>
      <w:pPr>
        <w:pStyle w:val="BodyText"/>
        <w:spacing w:before="33"/>
        <w:rPr>
          <w:rFonts w:ascii="Times New Roman"/>
          <w:b/>
          <w:sz w:val="19"/>
        </w:rPr>
      </w:pPr>
    </w:p>
    <w:p>
      <w:pPr>
        <w:pStyle w:val="ListParagraph"/>
        <w:numPr>
          <w:ilvl w:val="0"/>
          <w:numId w:val="8"/>
        </w:numPr>
        <w:tabs>
          <w:tab w:pos="426" w:val="left" w:leader="none"/>
        </w:tabs>
        <w:spacing w:line="240" w:lineRule="auto" w:before="0" w:after="0"/>
        <w:ind w:left="426" w:right="0" w:hanging="179"/>
        <w:jc w:val="left"/>
        <w:rPr>
          <w:rFonts w:ascii="Times New Roman"/>
          <w:sz w:val="19"/>
        </w:rPr>
      </w:pP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8"/>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1" simplePos="0" relativeHeight="486306816">
            <wp:simplePos x="0" y="0"/>
            <wp:positionH relativeFrom="page">
              <wp:posOffset>1200791</wp:posOffset>
            </wp:positionH>
            <wp:positionV relativeFrom="paragraph">
              <wp:posOffset>2626128</wp:posOffset>
            </wp:positionV>
            <wp:extent cx="5989374" cy="1409700"/>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50" cstate="print"/>
                    <a:stretch>
                      <a:fillRect/>
                    </a:stretch>
                  </pic:blipFill>
                  <pic:spPr>
                    <a:xfrm>
                      <a:off x="0" y="0"/>
                      <a:ext cx="5989374" cy="1409700"/>
                    </a:xfrm>
                    <a:prstGeom prst="rect">
                      <a:avLst/>
                    </a:prstGeom>
                  </pic:spPr>
                </pic:pic>
              </a:graphicData>
            </a:graphic>
          </wp:anchor>
        </w:drawing>
      </w:r>
      <w:r>
        <w:rPr>
          <w:rFonts w:ascii="Times New Roman" w:hAnsi="Times New Roman"/>
          <w:b/>
          <w:spacing w:val="-4"/>
          <w:sz w:val="18"/>
        </w:rPr>
        <w:t>IMAS</w:t>
      </w:r>
      <w:r>
        <w:rPr>
          <w:rFonts w:ascii="Times New Roman" w:hAnsi="Times New Roman"/>
          <w:b/>
          <w:sz w:val="18"/>
        </w:rPr>
        <w:tab/>
        <w:t>5:</w:t>
      </w:r>
      <w:r>
        <w:rPr>
          <w:rFonts w:ascii="Times New Roman" w:hAnsi="Times New Roman"/>
          <w:b/>
          <w:spacing w:val="-2"/>
          <w:sz w:val="18"/>
        </w:rPr>
        <w:t> </w:t>
      </w:r>
      <w:r>
        <w:rPr>
          <w:rFonts w:ascii="Times New Roman" w:hAnsi="Times New Roman"/>
          <w:b/>
          <w:sz w:val="18"/>
        </w:rPr>
        <w:t>Gestión</w:t>
      </w:r>
      <w:r>
        <w:rPr>
          <w:rFonts w:ascii="Times New Roman" w:hAnsi="Times New Roman"/>
          <w:b/>
          <w:spacing w:val="-1"/>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recursos</w:t>
      </w:r>
      <w:r>
        <w:rPr>
          <w:rFonts w:ascii="Times New Roman" w:hAnsi="Times New Roman"/>
          <w:b/>
          <w:spacing w:val="-2"/>
          <w:sz w:val="18"/>
        </w:rPr>
        <w:t> </w:t>
      </w:r>
      <w:r>
        <w:rPr>
          <w:rFonts w:ascii="Times New Roman" w:hAnsi="Times New Roman"/>
          <w:b/>
          <w:sz w:val="18"/>
        </w:rPr>
        <w:t>y</w:t>
      </w:r>
      <w:r>
        <w:rPr>
          <w:rFonts w:ascii="Times New Roman" w:hAnsi="Times New Roman"/>
          <w:b/>
          <w:spacing w:val="-2"/>
          <w:sz w:val="18"/>
        </w:rPr>
        <w:t> </w:t>
      </w:r>
      <w:r>
        <w:rPr>
          <w:rFonts w:ascii="Times New Roman" w:hAnsi="Times New Roman"/>
          <w:b/>
          <w:sz w:val="18"/>
        </w:rPr>
        <w:t>alianzas</w:t>
      </w:r>
      <w:r>
        <w:rPr>
          <w:rFonts w:ascii="Times New Roman" w:hAnsi="Times New Roman"/>
          <w:b/>
          <w:spacing w:val="-2"/>
          <w:sz w:val="18"/>
        </w:rPr>
        <w:t> estratégicas</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60"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left="6" w:right="983"/>
              <w:jc w:val="center"/>
              <w:rPr>
                <w:sz w:val="19"/>
              </w:rPr>
            </w:pPr>
            <w:r>
              <w:rPr>
                <w:spacing w:val="-5"/>
                <w:sz w:val="19"/>
              </w:rPr>
              <w:t>14</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left="6" w:right="983"/>
              <w:jc w:val="center"/>
              <w:rPr>
                <w:sz w:val="19"/>
              </w:rPr>
            </w:pPr>
            <w:r>
              <w:rPr>
                <w:spacing w:val="-5"/>
                <w:sz w:val="19"/>
              </w:rPr>
              <w:t>10</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0</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right="983"/>
              <w:jc w:val="center"/>
              <w:rPr>
                <w:sz w:val="19"/>
              </w:rPr>
            </w:pPr>
            <w:r>
              <w:rPr>
                <w:spacing w:val="-10"/>
                <w:sz w:val="19"/>
              </w:rPr>
              <w:t>4</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0"/>
        <w:rPr>
          <w:rFonts w:ascii="Times New Roman"/>
          <w:b/>
          <w:sz w:val="20"/>
        </w:rPr>
      </w:pPr>
      <w:r>
        <w:rPr>
          <w:rFonts w:ascii="Times New Roman"/>
          <w:b/>
          <w:sz w:val="20"/>
        </w:rPr>
        <mc:AlternateContent>
          <mc:Choice Requires="wps">
            <w:drawing>
              <wp:anchor distT="0" distB="0" distL="0" distR="0" allowOverlap="1" layoutInCell="1" locked="0" behindDoc="1" simplePos="0" relativeHeight="487609344">
                <wp:simplePos x="0" y="0"/>
                <wp:positionH relativeFrom="page">
                  <wp:posOffset>1106728</wp:posOffset>
                </wp:positionH>
                <wp:positionV relativeFrom="paragraph">
                  <wp:posOffset>301383</wp:posOffset>
                </wp:positionV>
                <wp:extent cx="6210300" cy="1562735"/>
                <wp:effectExtent l="0" t="0" r="0" b="0"/>
                <wp:wrapTopAndBottom/>
                <wp:docPr id="87" name="Graphic 87"/>
                <wp:cNvGraphicFramePr>
                  <a:graphicFrameLocks/>
                </wp:cNvGraphicFramePr>
                <a:graphic>
                  <a:graphicData uri="http://schemas.microsoft.com/office/word/2010/wordprocessingShape">
                    <wps:wsp>
                      <wps:cNvPr id="87" name="Graphic 87"/>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3097pt;width:489pt;height:123.05pt;mso-position-horizontal-relative:page;mso-position-vertical-relative:paragraph;z-index:-15707136;mso-wrap-distance-left:0;mso-wrap-distance-right:0" id="docshape46"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rPr>
          <w:rFonts w:ascii="Times New Roman"/>
          <w:b/>
          <w:sz w:val="18"/>
        </w:rPr>
      </w:pPr>
    </w:p>
    <w:p>
      <w:pPr>
        <w:pStyle w:val="BodyText"/>
        <w:spacing w:before="8"/>
        <w:rPr>
          <w:rFonts w:ascii="Times New Roman"/>
          <w:b/>
          <w:sz w:val="18"/>
        </w:rPr>
      </w:pPr>
    </w:p>
    <w:p>
      <w:pPr>
        <w:spacing w:before="0"/>
        <w:ind w:left="208" w:right="0" w:firstLine="0"/>
        <w:jc w:val="left"/>
        <w:rPr>
          <w:rFonts w:ascii="Times New Roman" w:hAnsi="Times New Roman"/>
          <w:sz w:val="19"/>
        </w:rPr>
      </w:pPr>
      <w:r>
        <w:rPr>
          <w:rFonts w:ascii="Times New Roman" w:hAnsi="Times New Roman"/>
          <w:sz w:val="19"/>
        </w:rPr>
        <w:t>Por</w:t>
      </w:r>
      <w:r>
        <w:rPr>
          <w:rFonts w:ascii="Times New Roman" w:hAnsi="Times New Roman"/>
          <w:spacing w:val="-7"/>
          <w:sz w:val="19"/>
        </w:rPr>
        <w:t> </w:t>
      </w:r>
      <w:r>
        <w:rPr>
          <w:rFonts w:ascii="Times New Roman" w:hAnsi="Times New Roman"/>
          <w:sz w:val="19"/>
        </w:rPr>
        <w:t>otra</w:t>
      </w:r>
      <w:r>
        <w:rPr>
          <w:rFonts w:ascii="Times New Roman" w:hAnsi="Times New Roman"/>
          <w:spacing w:val="-6"/>
          <w:sz w:val="19"/>
        </w:rPr>
        <w:t> </w:t>
      </w:r>
      <w:r>
        <w:rPr>
          <w:rFonts w:ascii="Times New Roman" w:hAnsi="Times New Roman"/>
          <w:sz w:val="19"/>
        </w:rPr>
        <w:t>parte,</w:t>
      </w:r>
      <w:r>
        <w:rPr>
          <w:rFonts w:ascii="Times New Roman" w:hAnsi="Times New Roman"/>
          <w:spacing w:val="-5"/>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enlistan</w:t>
      </w:r>
      <w:r>
        <w:rPr>
          <w:rFonts w:ascii="Times New Roman" w:hAnsi="Times New Roman"/>
          <w:spacing w:val="-4"/>
          <w:sz w:val="19"/>
        </w:rPr>
        <w:t> </w:t>
      </w:r>
      <w:r>
        <w:rPr>
          <w:rFonts w:ascii="Times New Roman" w:hAnsi="Times New Roman"/>
          <w:sz w:val="19"/>
        </w:rPr>
        <w:t>las</w:t>
      </w:r>
      <w:r>
        <w:rPr>
          <w:rFonts w:ascii="Times New Roman" w:hAnsi="Times New Roman"/>
          <w:spacing w:val="-5"/>
          <w:sz w:val="19"/>
        </w:rPr>
        <w:t> </w:t>
      </w:r>
      <w:r>
        <w:rPr>
          <w:rFonts w:ascii="Times New Roman" w:hAnsi="Times New Roman"/>
          <w:sz w:val="19"/>
        </w:rPr>
        <w:t>metas</w:t>
      </w:r>
      <w:r>
        <w:rPr>
          <w:rFonts w:ascii="Times New Roman" w:hAnsi="Times New Roman"/>
          <w:spacing w:val="-5"/>
          <w:sz w:val="19"/>
        </w:rPr>
        <w:t> </w:t>
      </w:r>
      <w:r>
        <w:rPr>
          <w:rFonts w:ascii="Times New Roman" w:hAnsi="Times New Roman"/>
          <w:sz w:val="19"/>
        </w:rPr>
        <w:t>que</w:t>
      </w:r>
      <w:r>
        <w:rPr>
          <w:rFonts w:ascii="Times New Roman" w:hAnsi="Times New Roman"/>
          <w:spacing w:val="-6"/>
          <w:sz w:val="19"/>
        </w:rPr>
        <w:t> </w:t>
      </w:r>
      <w:r>
        <w:rPr>
          <w:rFonts w:ascii="Times New Roman" w:hAnsi="Times New Roman"/>
          <w:sz w:val="19"/>
        </w:rPr>
        <w:t>se</w:t>
      </w:r>
      <w:r>
        <w:rPr>
          <w:rFonts w:ascii="Times New Roman" w:hAnsi="Times New Roman"/>
          <w:spacing w:val="-6"/>
          <w:sz w:val="19"/>
        </w:rPr>
        <w:t> </w:t>
      </w:r>
      <w:r>
        <w:rPr>
          <w:rFonts w:ascii="Times New Roman" w:hAnsi="Times New Roman"/>
          <w:sz w:val="19"/>
        </w:rPr>
        <w:t>reportaron</w:t>
      </w:r>
      <w:r>
        <w:rPr>
          <w:rFonts w:ascii="Times New Roman" w:hAnsi="Times New Roman"/>
          <w:spacing w:val="-5"/>
          <w:sz w:val="19"/>
        </w:rPr>
        <w:t> </w:t>
      </w:r>
      <w:r>
        <w:rPr>
          <w:rFonts w:ascii="Times New Roman" w:hAnsi="Times New Roman"/>
          <w:sz w:val="19"/>
        </w:rPr>
        <w:t>con</w:t>
      </w:r>
      <w:r>
        <w:rPr>
          <w:rFonts w:ascii="Times New Roman" w:hAnsi="Times New Roman"/>
          <w:spacing w:val="-6"/>
          <w:sz w:val="19"/>
        </w:rPr>
        <w:t> </w:t>
      </w:r>
      <w:r>
        <w:rPr>
          <w:rFonts w:ascii="Times New Roman" w:hAnsi="Times New Roman"/>
          <w:sz w:val="19"/>
        </w:rPr>
        <w:t>avance</w:t>
      </w:r>
      <w:r>
        <w:rPr>
          <w:rFonts w:ascii="Times New Roman" w:hAnsi="Times New Roman"/>
          <w:spacing w:val="-6"/>
          <w:sz w:val="19"/>
        </w:rPr>
        <w:t> </w:t>
      </w:r>
      <w:r>
        <w:rPr>
          <w:rFonts w:ascii="Times New Roman" w:hAnsi="Times New Roman"/>
          <w:spacing w:val="-2"/>
          <w:sz w:val="19"/>
        </w:rPr>
        <w:t>crítico.</w:t>
      </w:r>
    </w:p>
    <w:p>
      <w:pPr>
        <w:pStyle w:val="BodyText"/>
        <w:rPr>
          <w:rFonts w:ascii="Times New Roman"/>
          <w:sz w:val="19"/>
        </w:rPr>
      </w:pPr>
    </w:p>
    <w:p>
      <w:pPr>
        <w:pStyle w:val="BodyText"/>
        <w:spacing w:before="64"/>
        <w:rPr>
          <w:rFonts w:ascii="Times New Roman"/>
          <w:sz w:val="19"/>
        </w:rPr>
      </w:pPr>
    </w:p>
    <w:p>
      <w:pPr>
        <w:spacing w:before="0"/>
        <w:ind w:left="208" w:right="0" w:firstLine="0"/>
        <w:jc w:val="left"/>
        <w:rPr>
          <w:rFonts w:ascii="Times New Roman" w:hAnsi="Times New Roman"/>
          <w:b/>
          <w:sz w:val="18"/>
        </w:rPr>
      </w:pPr>
      <w:r>
        <w:rPr>
          <w:rFonts w:ascii="Times New Roman" w:hAnsi="Times New Roman"/>
          <w:b/>
          <w:sz w:val="18"/>
        </w:rPr>
        <w:drawing>
          <wp:anchor distT="0" distB="0" distL="0" distR="0" allowOverlap="1" layoutInCell="1" locked="0" behindDoc="0" simplePos="0" relativeHeight="15751680">
            <wp:simplePos x="0" y="0"/>
            <wp:positionH relativeFrom="page">
              <wp:posOffset>7333615</wp:posOffset>
            </wp:positionH>
            <wp:positionV relativeFrom="paragraph">
              <wp:posOffset>323955</wp:posOffset>
            </wp:positionV>
            <wp:extent cx="199390" cy="162559"/>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34" cstate="print"/>
                    <a:stretch>
                      <a:fillRect/>
                    </a:stretch>
                  </pic:blipFill>
                  <pic:spPr>
                    <a:xfrm>
                      <a:off x="0" y="0"/>
                      <a:ext cx="199390" cy="162559"/>
                    </a:xfrm>
                    <a:prstGeom prst="rect">
                      <a:avLst/>
                    </a:prstGeom>
                  </pic:spPr>
                </pic:pic>
              </a:graphicData>
            </a:graphic>
          </wp:anchor>
        </w:drawing>
      </w:r>
      <w:r>
        <w:rPr>
          <w:rFonts w:ascii="Times New Roman" w:hAnsi="Times New Roman"/>
          <w:b/>
          <w:sz w:val="18"/>
        </w:rPr>
        <w:t>Detalle</w:t>
      </w:r>
      <w:r>
        <w:rPr>
          <w:rFonts w:ascii="Times New Roman" w:hAnsi="Times New Roman"/>
          <w:b/>
          <w:spacing w:val="-2"/>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metas</w:t>
      </w:r>
      <w:r>
        <w:rPr>
          <w:rFonts w:ascii="Times New Roman" w:hAnsi="Times New Roman"/>
          <w:b/>
          <w:spacing w:val="-1"/>
          <w:sz w:val="18"/>
        </w:rPr>
        <w:t> </w:t>
      </w:r>
      <w:r>
        <w:rPr>
          <w:rFonts w:ascii="Times New Roman" w:hAnsi="Times New Roman"/>
          <w:b/>
          <w:sz w:val="18"/>
        </w:rPr>
        <w:t>con</w:t>
      </w:r>
      <w:r>
        <w:rPr>
          <w:rFonts w:ascii="Times New Roman" w:hAnsi="Times New Roman"/>
          <w:b/>
          <w:spacing w:val="-3"/>
          <w:sz w:val="18"/>
        </w:rPr>
        <w:t> </w:t>
      </w:r>
      <w:r>
        <w:rPr>
          <w:rFonts w:ascii="Times New Roman" w:hAnsi="Times New Roman"/>
          <w:b/>
          <w:sz w:val="18"/>
        </w:rPr>
        <w:t>avance</w:t>
      </w:r>
      <w:r>
        <w:rPr>
          <w:rFonts w:ascii="Times New Roman" w:hAnsi="Times New Roman"/>
          <w:b/>
          <w:spacing w:val="-1"/>
          <w:sz w:val="18"/>
        </w:rPr>
        <w:t> </w:t>
      </w:r>
      <w:r>
        <w:rPr>
          <w:rFonts w:ascii="Times New Roman" w:hAnsi="Times New Roman"/>
          <w:b/>
          <w:spacing w:val="-2"/>
          <w:sz w:val="18"/>
        </w:rPr>
        <w:t>crítico</w:t>
      </w:r>
    </w:p>
    <w:p>
      <w:pPr>
        <w:pStyle w:val="BodyText"/>
        <w:spacing w:before="5"/>
        <w:rPr>
          <w:rFonts w:ascii="Times New Roman"/>
          <w:b/>
          <w:sz w:val="18"/>
        </w:rPr>
      </w:pPr>
    </w:p>
    <w:p>
      <w:pPr>
        <w:pStyle w:val="BodyText"/>
        <w:spacing w:after="0"/>
        <w:rPr>
          <w:rFonts w:ascii="Times New Roman"/>
          <w:b/>
          <w:sz w:val="18"/>
        </w:rPr>
        <w:sectPr>
          <w:headerReference w:type="default" r:id="rId47"/>
          <w:footerReference w:type="default" r:id="rId48"/>
          <w:pgSz w:w="13370" w:h="17280"/>
          <w:pgMar w:header="507" w:footer="840" w:top="1340" w:bottom="1040" w:left="1275" w:right="992"/>
        </w:sectPr>
      </w:pPr>
    </w:p>
    <w:p>
      <w:pPr>
        <w:tabs>
          <w:tab w:pos="1648" w:val="left" w:leader="none"/>
        </w:tabs>
        <w:spacing w:before="92"/>
        <w:ind w:left="1648" w:right="39" w:hanging="1440"/>
        <w:jc w:val="left"/>
        <w:rPr>
          <w:rFonts w:ascii="Times New Roman" w:hAnsi="Times New Roman"/>
          <w:sz w:val="19"/>
        </w:rPr>
      </w:pPr>
      <w:r>
        <w:rPr>
          <w:rFonts w:ascii="Times New Roman" w:hAnsi="Times New Roman"/>
          <w:b/>
          <w:position w:val="1"/>
          <w:sz w:val="18"/>
        </w:rPr>
        <w:t>Resultado PEI</w:t>
        <w:tab/>
      </w:r>
      <w:r>
        <w:rPr>
          <w:rFonts w:ascii="Times New Roman" w:hAnsi="Times New Roman"/>
          <w:sz w:val="19"/>
        </w:rPr>
        <w:t>5.3.2</w:t>
      </w:r>
      <w:r>
        <w:rPr>
          <w:rFonts w:ascii="Times New Roman" w:hAnsi="Times New Roman"/>
          <w:spacing w:val="37"/>
          <w:sz w:val="19"/>
        </w:rPr>
        <w:t> </w:t>
      </w:r>
      <w:r>
        <w:rPr>
          <w:rFonts w:ascii="Times New Roman" w:hAnsi="Times New Roman"/>
          <w:sz w:val="19"/>
        </w:rPr>
        <w:t>Equipamiento</w:t>
      </w:r>
      <w:r>
        <w:rPr>
          <w:rFonts w:ascii="Times New Roman" w:hAnsi="Times New Roman"/>
          <w:spacing w:val="35"/>
          <w:sz w:val="19"/>
        </w:rPr>
        <w:t> </w:t>
      </w:r>
      <w:r>
        <w:rPr>
          <w:rFonts w:ascii="Times New Roman" w:hAnsi="Times New Roman"/>
          <w:sz w:val="19"/>
        </w:rPr>
        <w:t>óptimo</w:t>
      </w:r>
      <w:r>
        <w:rPr>
          <w:rFonts w:ascii="Times New Roman" w:hAnsi="Times New Roman"/>
          <w:spacing w:val="37"/>
          <w:sz w:val="19"/>
        </w:rPr>
        <w:t> </w:t>
      </w:r>
      <w:r>
        <w:rPr>
          <w:rFonts w:ascii="Times New Roman" w:hAnsi="Times New Roman"/>
          <w:sz w:val="19"/>
        </w:rPr>
        <w:t>y</w:t>
      </w:r>
      <w:r>
        <w:rPr>
          <w:rFonts w:ascii="Times New Roman" w:hAnsi="Times New Roman"/>
          <w:spacing w:val="35"/>
          <w:sz w:val="19"/>
        </w:rPr>
        <w:t> </w:t>
      </w:r>
      <w:r>
        <w:rPr>
          <w:rFonts w:ascii="Times New Roman" w:hAnsi="Times New Roman"/>
          <w:sz w:val="19"/>
        </w:rPr>
        <w:t>proyectos</w:t>
      </w:r>
      <w:r>
        <w:rPr>
          <w:rFonts w:ascii="Times New Roman" w:hAnsi="Times New Roman"/>
          <w:spacing w:val="36"/>
          <w:sz w:val="19"/>
        </w:rPr>
        <w:t> </w:t>
      </w:r>
      <w:r>
        <w:rPr>
          <w:rFonts w:ascii="Times New Roman" w:hAnsi="Times New Roman"/>
          <w:sz w:val="19"/>
        </w:rPr>
        <w:t>de</w:t>
      </w:r>
      <w:r>
        <w:rPr>
          <w:rFonts w:ascii="Times New Roman" w:hAnsi="Times New Roman"/>
          <w:spacing w:val="36"/>
          <w:sz w:val="19"/>
        </w:rPr>
        <w:t> </w:t>
      </w:r>
      <w:r>
        <w:rPr>
          <w:rFonts w:ascii="Times New Roman" w:hAnsi="Times New Roman"/>
          <w:sz w:val="19"/>
        </w:rPr>
        <w:t>automatización</w:t>
      </w:r>
      <w:r>
        <w:rPr>
          <w:rFonts w:ascii="Times New Roman" w:hAnsi="Times New Roman"/>
          <w:spacing w:val="37"/>
          <w:sz w:val="19"/>
        </w:rPr>
        <w:t> </w:t>
      </w:r>
      <w:r>
        <w:rPr>
          <w:rFonts w:ascii="Times New Roman" w:hAnsi="Times New Roman"/>
          <w:sz w:val="19"/>
        </w:rPr>
        <w:t>tecnológica</w:t>
      </w:r>
      <w:r>
        <w:rPr>
          <w:rFonts w:ascii="Times New Roman" w:hAnsi="Times New Roman"/>
          <w:spacing w:val="36"/>
          <w:sz w:val="19"/>
        </w:rPr>
        <w:t> </w:t>
      </w:r>
      <w:r>
        <w:rPr>
          <w:rFonts w:ascii="Times New Roman" w:hAnsi="Times New Roman"/>
          <w:sz w:val="19"/>
        </w:rPr>
        <w:t>implementados</w:t>
      </w:r>
      <w:r>
        <w:rPr>
          <w:rFonts w:ascii="Times New Roman" w:hAnsi="Times New Roman"/>
          <w:spacing w:val="36"/>
          <w:sz w:val="19"/>
        </w:rPr>
        <w:t> </w:t>
      </w:r>
      <w:r>
        <w:rPr>
          <w:rFonts w:ascii="Times New Roman" w:hAnsi="Times New Roman"/>
          <w:sz w:val="19"/>
        </w:rPr>
        <w:t>para mejorar y modernizar la operación del negocio</w:t>
      </w:r>
    </w:p>
    <w:p>
      <w:pPr>
        <w:spacing w:before="93"/>
        <w:ind w:left="208" w:right="0" w:firstLine="0"/>
        <w:jc w:val="left"/>
        <w:rPr>
          <w:rFonts w:ascii="Times New Roman"/>
          <w:sz w:val="19"/>
        </w:rPr>
      </w:pPr>
      <w:r>
        <w:rPr/>
        <w:br w:type="column"/>
      </w:r>
      <w:r>
        <w:rPr>
          <w:rFonts w:ascii="Times New Roman"/>
          <w:sz w:val="19"/>
        </w:rPr>
        <w:t>0,00</w:t>
      </w:r>
      <w:r>
        <w:rPr>
          <w:rFonts w:ascii="Times New Roman"/>
          <w:spacing w:val="33"/>
          <w:sz w:val="19"/>
        </w:rPr>
        <w:t> </w:t>
      </w:r>
      <w:r>
        <w:rPr>
          <w:rFonts w:ascii="Times New Roman"/>
          <w:spacing w:val="-10"/>
          <w:sz w:val="19"/>
        </w:rPr>
        <w:t>%</w:t>
      </w:r>
    </w:p>
    <w:p>
      <w:pPr>
        <w:spacing w:after="0"/>
        <w:jc w:val="left"/>
        <w:rPr>
          <w:rFonts w:ascii="Times New Roman"/>
          <w:sz w:val="19"/>
        </w:rPr>
        <w:sectPr>
          <w:type w:val="continuous"/>
          <w:pgSz w:w="13370" w:h="17280"/>
          <w:pgMar w:header="507" w:footer="840" w:top="1120" w:bottom="1160" w:left="1275" w:right="992"/>
          <w:cols w:num="2" w:equalWidth="0">
            <w:col w:w="9004" w:space="238"/>
            <w:col w:w="1861"/>
          </w:cols>
        </w:sectPr>
      </w:pPr>
    </w:p>
    <w:p>
      <w:pPr>
        <w:pStyle w:val="BodyText"/>
        <w:spacing w:before="11"/>
        <w:rPr>
          <w:rFonts w:ascii="Times New Roman"/>
          <w:sz w:val="13"/>
        </w:rPr>
      </w:pPr>
      <w:r>
        <w:rPr>
          <w:rFonts w:ascii="Times New Roman"/>
          <w:sz w:val="13"/>
        </w:rPr>
        <mc:AlternateContent>
          <mc:Choice Requires="wps">
            <w:drawing>
              <wp:anchor distT="0" distB="0" distL="0" distR="0" allowOverlap="1" layoutInCell="1" locked="0" behindDoc="0" simplePos="0" relativeHeight="15752704">
                <wp:simplePos x="0" y="0"/>
                <wp:positionH relativeFrom="page">
                  <wp:posOffset>875080</wp:posOffset>
                </wp:positionH>
                <wp:positionV relativeFrom="page">
                  <wp:posOffset>10401300</wp:posOffset>
                </wp:positionV>
                <wp:extent cx="6729730" cy="22860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6729730" cy="22860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99"/>
                              <w:gridCol w:w="4035"/>
                              <w:gridCol w:w="4728"/>
                            </w:tblGrid>
                            <w:tr>
                              <w:trPr>
                                <w:trHeight w:val="330" w:hRule="atLeast"/>
                              </w:trPr>
                              <w:tc>
                                <w:tcPr>
                                  <w:tcW w:w="1699" w:type="dxa"/>
                                  <w:tcBorders>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5" w:type="dxa"/>
                                  <w:tcBorders>
                                    <w:left w:val="single" w:sz="2" w:space="0" w:color="000000"/>
                                    <w:right w:val="single" w:sz="2" w:space="0" w:color="000000"/>
                                  </w:tcBorders>
                                  <w:shd w:val="clear" w:color="auto" w:fill="E4E4E4"/>
                                </w:tcPr>
                                <w:p>
                                  <w:pPr>
                                    <w:pStyle w:val="TableParagraph"/>
                                    <w:spacing w:line="207" w:lineRule="exact"/>
                                    <w:ind w:left="15"/>
                                    <w:jc w:val="center"/>
                                    <w:rPr>
                                      <w:b/>
                                      <w:sz w:val="18"/>
                                    </w:rPr>
                                  </w:pPr>
                                  <w:r>
                                    <w:rPr>
                                      <w:b/>
                                      <w:sz w:val="18"/>
                                    </w:rPr>
                                    <w:t>Actividad</w:t>
                                  </w:r>
                                  <w:r>
                                    <w:rPr>
                                      <w:b/>
                                      <w:spacing w:val="-5"/>
                                      <w:sz w:val="18"/>
                                    </w:rPr>
                                    <w:t> POI</w:t>
                                  </w:r>
                                </w:p>
                              </w:tc>
                              <w:tc>
                                <w:tcPr>
                                  <w:tcW w:w="4728" w:type="dxa"/>
                                  <w:tcBorders>
                                    <w:left w:val="single" w:sz="2" w:space="0" w:color="000000"/>
                                  </w:tcBorders>
                                  <w:shd w:val="clear" w:color="auto" w:fill="E4E4E4"/>
                                </w:tcPr>
                                <w:p>
                                  <w:pPr>
                                    <w:pStyle w:val="TableParagraph"/>
                                    <w:spacing w:line="207" w:lineRule="exact"/>
                                    <w:ind w:left="16"/>
                                    <w:jc w:val="center"/>
                                    <w:rPr>
                                      <w:b/>
                                      <w:sz w:val="18"/>
                                    </w:rPr>
                                  </w:pPr>
                                  <w:r>
                                    <w:rPr>
                                      <w:b/>
                                      <w:spacing w:val="-2"/>
                                      <w:sz w:val="18"/>
                                    </w:rPr>
                                    <w:t>Justificación</w:t>
                                  </w:r>
                                </w:p>
                              </w:tc>
                            </w:tr>
                          </w:tbl>
                          <w:p>
                            <w:pPr>
                              <w:pStyle w:val="BodyText"/>
                            </w:pPr>
                          </w:p>
                        </w:txbxContent>
                      </wps:txbx>
                      <wps:bodyPr wrap="square" lIns="0" tIns="0" rIns="0" bIns="0" rtlCol="0">
                        <a:noAutofit/>
                      </wps:bodyPr>
                    </wps:wsp>
                  </a:graphicData>
                </a:graphic>
              </wp:anchor>
            </w:drawing>
          </mc:Choice>
          <mc:Fallback>
            <w:pict>
              <v:shape style="position:absolute;margin-left:68.903999pt;margin-top:819pt;width:529.9pt;height:18pt;mso-position-horizontal-relative:page;mso-position-vertical-relative:page;z-index:15752704" type="#_x0000_t202" id="docshape47"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99"/>
                        <w:gridCol w:w="4035"/>
                        <w:gridCol w:w="4728"/>
                      </w:tblGrid>
                      <w:tr>
                        <w:trPr>
                          <w:trHeight w:val="330" w:hRule="atLeast"/>
                        </w:trPr>
                        <w:tc>
                          <w:tcPr>
                            <w:tcW w:w="1699" w:type="dxa"/>
                            <w:tcBorders>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5" w:type="dxa"/>
                            <w:tcBorders>
                              <w:left w:val="single" w:sz="2" w:space="0" w:color="000000"/>
                              <w:right w:val="single" w:sz="2" w:space="0" w:color="000000"/>
                            </w:tcBorders>
                            <w:shd w:val="clear" w:color="auto" w:fill="E4E4E4"/>
                          </w:tcPr>
                          <w:p>
                            <w:pPr>
                              <w:pStyle w:val="TableParagraph"/>
                              <w:spacing w:line="207" w:lineRule="exact"/>
                              <w:ind w:left="15"/>
                              <w:jc w:val="center"/>
                              <w:rPr>
                                <w:b/>
                                <w:sz w:val="18"/>
                              </w:rPr>
                            </w:pPr>
                            <w:r>
                              <w:rPr>
                                <w:b/>
                                <w:sz w:val="18"/>
                              </w:rPr>
                              <w:t>Actividad</w:t>
                            </w:r>
                            <w:r>
                              <w:rPr>
                                <w:b/>
                                <w:spacing w:val="-5"/>
                                <w:sz w:val="18"/>
                              </w:rPr>
                              <w:t> POI</w:t>
                            </w:r>
                          </w:p>
                        </w:tc>
                        <w:tc>
                          <w:tcPr>
                            <w:tcW w:w="4728" w:type="dxa"/>
                            <w:tcBorders>
                              <w:left w:val="single" w:sz="2" w:space="0" w:color="000000"/>
                            </w:tcBorders>
                            <w:shd w:val="clear" w:color="auto" w:fill="E4E4E4"/>
                          </w:tcPr>
                          <w:p>
                            <w:pPr>
                              <w:pStyle w:val="TableParagraph"/>
                              <w:spacing w:line="207" w:lineRule="exact"/>
                              <w:ind w:left="16"/>
                              <w:jc w:val="center"/>
                              <w:rPr>
                                <w:b/>
                                <w:sz w:val="18"/>
                              </w:rPr>
                            </w:pPr>
                            <w:r>
                              <w:rPr>
                                <w:b/>
                                <w:spacing w:val="-2"/>
                                <w:sz w:val="18"/>
                              </w:rPr>
                              <w:t>Justificación</w:t>
                            </w:r>
                          </w:p>
                        </w:tc>
                      </w:tr>
                    </w:tbl>
                    <w:p>
                      <w:pPr>
                        <w:pStyle w:val="BodyText"/>
                      </w:pPr>
                    </w:p>
                  </w:txbxContent>
                </v:textbox>
                <w10:wrap type="none"/>
              </v:shape>
            </w:pict>
          </mc:Fallback>
        </mc:AlternateContent>
      </w: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927" w:hRule="atLeast"/>
        </w:trPr>
        <w:tc>
          <w:tcPr>
            <w:tcW w:w="1709" w:type="dxa"/>
            <w:tcBorders>
              <w:top w:val="single" w:sz="12" w:space="0" w:color="000000"/>
              <w:bottom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ind w:left="42" w:right="39"/>
              <w:jc w:val="both"/>
              <w:rPr>
                <w:sz w:val="19"/>
              </w:rPr>
            </w:pPr>
            <w:r>
              <w:rPr>
                <w:sz w:val="19"/>
              </w:rPr>
              <w:t>PEC 3.5.1: Valoración y definición de la</w:t>
            </w:r>
            <w:r>
              <w:rPr>
                <w:spacing w:val="40"/>
                <w:sz w:val="19"/>
              </w:rPr>
              <w:t> </w:t>
            </w:r>
            <w:r>
              <w:rPr>
                <w:sz w:val="19"/>
              </w:rPr>
              <w:t>Plataforma tecnológica, en función de las necesidades del negocio que permita mejorar la </w:t>
            </w:r>
            <w:r>
              <w:rPr>
                <w:spacing w:val="-2"/>
                <w:sz w:val="19"/>
              </w:rPr>
              <w:t>operación</w:t>
            </w:r>
          </w:p>
        </w:tc>
        <w:tc>
          <w:tcPr>
            <w:tcW w:w="4726" w:type="dxa"/>
            <w:tcBorders>
              <w:top w:val="single" w:sz="12" w:space="0" w:color="000000"/>
              <w:bottom w:val="single" w:sz="12" w:space="0" w:color="000000"/>
            </w:tcBorders>
          </w:tcPr>
          <w:p>
            <w:pPr>
              <w:pStyle w:val="TableParagraph"/>
              <w:ind w:left="45"/>
              <w:rPr>
                <w:sz w:val="19"/>
              </w:rPr>
            </w:pPr>
            <w:r>
              <w:rPr>
                <w:sz w:val="19"/>
              </w:rPr>
              <w:t>Se</w:t>
            </w:r>
            <w:r>
              <w:rPr>
                <w:spacing w:val="29"/>
                <w:sz w:val="19"/>
              </w:rPr>
              <w:t> </w:t>
            </w:r>
            <w:r>
              <w:rPr>
                <w:sz w:val="19"/>
              </w:rPr>
              <w:t>ha</w:t>
            </w:r>
            <w:r>
              <w:rPr>
                <w:spacing w:val="29"/>
                <w:sz w:val="19"/>
              </w:rPr>
              <w:t> </w:t>
            </w:r>
            <w:r>
              <w:rPr>
                <w:sz w:val="19"/>
              </w:rPr>
              <w:t>tenido</w:t>
            </w:r>
            <w:r>
              <w:rPr>
                <w:spacing w:val="30"/>
                <w:sz w:val="19"/>
              </w:rPr>
              <w:t> </w:t>
            </w:r>
            <w:r>
              <w:rPr>
                <w:sz w:val="19"/>
              </w:rPr>
              <w:t>que</w:t>
            </w:r>
            <w:r>
              <w:rPr>
                <w:spacing w:val="29"/>
                <w:sz w:val="19"/>
              </w:rPr>
              <w:t> </w:t>
            </w:r>
            <w:r>
              <w:rPr>
                <w:sz w:val="19"/>
              </w:rPr>
              <w:t>priorizar</w:t>
            </w:r>
            <w:r>
              <w:rPr>
                <w:spacing w:val="28"/>
                <w:sz w:val="19"/>
              </w:rPr>
              <w:t> </w:t>
            </w:r>
            <w:r>
              <w:rPr>
                <w:sz w:val="19"/>
              </w:rPr>
              <w:t>en</w:t>
            </w:r>
            <w:r>
              <w:rPr>
                <w:spacing w:val="30"/>
                <w:sz w:val="19"/>
              </w:rPr>
              <w:t> </w:t>
            </w:r>
            <w:r>
              <w:rPr>
                <w:sz w:val="19"/>
              </w:rPr>
              <w:t>las</w:t>
            </w:r>
            <w:r>
              <w:rPr>
                <w:spacing w:val="29"/>
                <w:sz w:val="19"/>
              </w:rPr>
              <w:t> </w:t>
            </w:r>
            <w:r>
              <w:rPr>
                <w:sz w:val="19"/>
              </w:rPr>
              <w:t>licitaciones</w:t>
            </w:r>
            <w:r>
              <w:rPr>
                <w:spacing w:val="29"/>
                <w:sz w:val="19"/>
              </w:rPr>
              <w:t> </w:t>
            </w:r>
            <w:r>
              <w:rPr>
                <w:sz w:val="19"/>
              </w:rPr>
              <w:t>de</w:t>
            </w:r>
            <w:r>
              <w:rPr>
                <w:spacing w:val="29"/>
                <w:sz w:val="19"/>
              </w:rPr>
              <w:t> </w:t>
            </w:r>
            <w:r>
              <w:rPr>
                <w:sz w:val="19"/>
              </w:rPr>
              <w:t>servicios logísticos y operativos para la continuidad del negocio.</w:t>
            </w:r>
          </w:p>
        </w:tc>
      </w:tr>
      <w:tr>
        <w:trPr>
          <w:trHeight w:val="702"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tcBorders>
          </w:tcPr>
          <w:p>
            <w:pPr>
              <w:pStyle w:val="TableParagraph"/>
              <w:ind w:left="42" w:right="44"/>
              <w:jc w:val="both"/>
              <w:rPr>
                <w:sz w:val="19"/>
              </w:rPr>
            </w:pPr>
            <w:r>
              <w:rPr>
                <w:sz w:val="19"/>
              </w:rPr>
              <w:t>PEC</w:t>
            </w:r>
            <w:r>
              <w:rPr>
                <w:spacing w:val="-2"/>
                <w:sz w:val="19"/>
              </w:rPr>
              <w:t> </w:t>
            </w:r>
            <w:r>
              <w:rPr>
                <w:sz w:val="19"/>
              </w:rPr>
              <w:t>3.5.2:</w:t>
            </w:r>
            <w:r>
              <w:rPr>
                <w:spacing w:val="-2"/>
                <w:sz w:val="19"/>
              </w:rPr>
              <w:t> </w:t>
            </w:r>
            <w:r>
              <w:rPr>
                <w:sz w:val="19"/>
              </w:rPr>
              <w:t>Equipamiento</w:t>
            </w:r>
            <w:r>
              <w:rPr>
                <w:spacing w:val="-4"/>
                <w:sz w:val="19"/>
              </w:rPr>
              <w:t> </w:t>
            </w:r>
            <w:r>
              <w:rPr>
                <w:sz w:val="19"/>
              </w:rPr>
              <w:t>para</w:t>
            </w:r>
            <w:r>
              <w:rPr>
                <w:spacing w:val="-5"/>
                <w:sz w:val="19"/>
              </w:rPr>
              <w:t> </w:t>
            </w:r>
            <w:r>
              <w:rPr>
                <w:sz w:val="19"/>
              </w:rPr>
              <w:t>garantizar</w:t>
            </w:r>
            <w:r>
              <w:rPr>
                <w:spacing w:val="-3"/>
                <w:sz w:val="19"/>
              </w:rPr>
              <w:t> </w:t>
            </w:r>
            <w:r>
              <w:rPr>
                <w:sz w:val="19"/>
              </w:rPr>
              <w:t>la</w:t>
            </w:r>
            <w:r>
              <w:rPr>
                <w:spacing w:val="-2"/>
                <w:sz w:val="19"/>
              </w:rPr>
              <w:t> </w:t>
            </w:r>
            <w:r>
              <w:rPr>
                <w:sz w:val="19"/>
              </w:rPr>
              <w:t>gestión logística</w:t>
            </w:r>
            <w:r>
              <w:rPr>
                <w:spacing w:val="-4"/>
                <w:sz w:val="19"/>
              </w:rPr>
              <w:t> </w:t>
            </w:r>
            <w:r>
              <w:rPr>
                <w:sz w:val="19"/>
              </w:rPr>
              <w:t>y</w:t>
            </w:r>
            <w:r>
              <w:rPr>
                <w:spacing w:val="-4"/>
                <w:sz w:val="19"/>
              </w:rPr>
              <w:t> </w:t>
            </w:r>
            <w:r>
              <w:rPr>
                <w:sz w:val="19"/>
              </w:rPr>
              <w:t>operativa</w:t>
            </w:r>
            <w:r>
              <w:rPr>
                <w:spacing w:val="-4"/>
                <w:sz w:val="19"/>
              </w:rPr>
              <w:t> </w:t>
            </w:r>
            <w:r>
              <w:rPr>
                <w:sz w:val="19"/>
              </w:rPr>
              <w:t>del</w:t>
            </w:r>
            <w:r>
              <w:rPr>
                <w:spacing w:val="-4"/>
                <w:sz w:val="19"/>
              </w:rPr>
              <w:t> </w:t>
            </w:r>
            <w:r>
              <w:rPr>
                <w:sz w:val="19"/>
              </w:rPr>
              <w:t>negocio</w:t>
            </w:r>
            <w:r>
              <w:rPr>
                <w:spacing w:val="-4"/>
                <w:sz w:val="19"/>
              </w:rPr>
              <w:t> </w:t>
            </w:r>
            <w:r>
              <w:rPr>
                <w:sz w:val="19"/>
              </w:rPr>
              <w:t>(Partidas:</w:t>
            </w:r>
            <w:r>
              <w:rPr>
                <w:spacing w:val="-4"/>
                <w:sz w:val="19"/>
              </w:rPr>
              <w:t> </w:t>
            </w:r>
            <w:r>
              <w:rPr>
                <w:sz w:val="19"/>
              </w:rPr>
              <w:t>1.01.02, 1.06.01, 1.08.05, 5.01.99 5.01.02) (AEC)</w:t>
            </w:r>
          </w:p>
        </w:tc>
        <w:tc>
          <w:tcPr>
            <w:tcW w:w="4726" w:type="dxa"/>
            <w:tcBorders>
              <w:top w:val="single" w:sz="12" w:space="0" w:color="000000"/>
            </w:tcBorders>
          </w:tcPr>
          <w:p>
            <w:pPr>
              <w:pStyle w:val="TableParagraph"/>
              <w:spacing w:line="218" w:lineRule="exact"/>
              <w:ind w:left="45"/>
              <w:rPr>
                <w:sz w:val="19"/>
              </w:rPr>
            </w:pPr>
            <w:r>
              <w:rPr>
                <w:sz w:val="19"/>
              </w:rPr>
              <w:t>no</w:t>
            </w:r>
            <w:r>
              <w:rPr>
                <w:spacing w:val="-1"/>
                <w:sz w:val="19"/>
              </w:rPr>
              <w:t> </w:t>
            </w:r>
            <w:r>
              <w:rPr>
                <w:spacing w:val="-5"/>
                <w:sz w:val="19"/>
              </w:rPr>
              <w:t>hay</w:t>
            </w:r>
          </w:p>
        </w:tc>
      </w:tr>
    </w:tbl>
    <w:p>
      <w:pPr>
        <w:tabs>
          <w:tab w:pos="1648" w:val="left" w:leader="none"/>
          <w:tab w:pos="9356" w:val="left" w:leader="none"/>
        </w:tabs>
        <w:spacing w:before="151"/>
        <w:ind w:left="208" w:right="0" w:firstLine="0"/>
        <w:jc w:val="left"/>
        <w:rPr>
          <w:rFonts w:ascii="Times New Roman" w:hAnsi="Times New Roman"/>
          <w:sz w:val="19"/>
        </w:rPr>
      </w:pPr>
      <w:r>
        <w:rPr>
          <w:rFonts w:ascii="Times New Roman" w:hAnsi="Times New Roman"/>
          <w:sz w:val="19"/>
        </w:rPr>
        <mc:AlternateContent>
          <mc:Choice Requires="wps">
            <w:drawing>
              <wp:anchor distT="0" distB="0" distL="0" distR="0" allowOverlap="1" layoutInCell="1" locked="0" behindDoc="1" simplePos="0" relativeHeight="486307840">
                <wp:simplePos x="0" y="0"/>
                <wp:positionH relativeFrom="page">
                  <wp:posOffset>7333615</wp:posOffset>
                </wp:positionH>
                <wp:positionV relativeFrom="paragraph">
                  <wp:posOffset>95122</wp:posOffset>
                </wp:positionV>
                <wp:extent cx="237490" cy="304800"/>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237490" cy="304800"/>
                          <a:chExt cx="237490" cy="304800"/>
                        </a:xfrm>
                      </wpg:grpSpPr>
                      <wps:wsp>
                        <wps:cNvPr id="91" name="Graphic 91"/>
                        <wps:cNvSpPr/>
                        <wps:spPr>
                          <a:xfrm>
                            <a:off x="234315" y="1523"/>
                            <a:ext cx="3175" cy="303530"/>
                          </a:xfrm>
                          <a:custGeom>
                            <a:avLst/>
                            <a:gdLst/>
                            <a:ahLst/>
                            <a:cxnLst/>
                            <a:rect l="l" t="t" r="r" b="b"/>
                            <a:pathLst>
                              <a:path w="3175" h="303530">
                                <a:moveTo>
                                  <a:pt x="3047" y="0"/>
                                </a:moveTo>
                                <a:lnTo>
                                  <a:pt x="0" y="0"/>
                                </a:lnTo>
                                <a:lnTo>
                                  <a:pt x="0" y="303275"/>
                                </a:lnTo>
                                <a:lnTo>
                                  <a:pt x="3047" y="303275"/>
                                </a:lnTo>
                                <a:lnTo>
                                  <a:pt x="3047" y="0"/>
                                </a:lnTo>
                                <a:close/>
                              </a:path>
                            </a:pathLst>
                          </a:custGeom>
                          <a:solidFill>
                            <a:srgbClr val="FFFFFF"/>
                          </a:solidFill>
                        </wps:spPr>
                        <wps:bodyPr wrap="square" lIns="0" tIns="0" rIns="0" bIns="0" rtlCol="0">
                          <a:prstTxWarp prst="textNoShape">
                            <a:avLst/>
                          </a:prstTxWarp>
                          <a:noAutofit/>
                        </wps:bodyPr>
                      </wps:wsp>
                      <pic:pic>
                        <pic:nvPicPr>
                          <pic:cNvPr id="92" name="Image 92"/>
                          <pic:cNvPicPr/>
                        </pic:nvPicPr>
                        <pic:blipFill>
                          <a:blip r:embed="rId51" cstate="print"/>
                          <a:stretch>
                            <a:fillRect/>
                          </a:stretch>
                        </pic:blipFill>
                        <pic:spPr>
                          <a:xfrm>
                            <a:off x="0" y="0"/>
                            <a:ext cx="199390" cy="163068"/>
                          </a:xfrm>
                          <a:prstGeom prst="rect">
                            <a:avLst/>
                          </a:prstGeom>
                        </pic:spPr>
                      </pic:pic>
                    </wpg:wgp>
                  </a:graphicData>
                </a:graphic>
              </wp:anchor>
            </w:drawing>
          </mc:Choice>
          <mc:Fallback>
            <w:pict>
              <v:group style="position:absolute;margin-left:577.450012pt;margin-top:7.48997pt;width:18.7pt;height:24pt;mso-position-horizontal-relative:page;mso-position-vertical-relative:paragraph;z-index:-17008640" id="docshapegroup48" coordorigin="11549,150" coordsize="374,480">
                <v:rect style="position:absolute;left:11918;top:152;width:5;height:478" id="docshape49" filled="true" fillcolor="#ffffff" stroked="false">
                  <v:fill type="solid"/>
                </v:rect>
                <v:shape style="position:absolute;left:11549;top:149;width:314;height:257" type="#_x0000_t75" id="docshape50" stroked="false">
                  <v:imagedata r:id="rId51" o:title=""/>
                </v:shape>
                <w10:wrap type="none"/>
              </v:group>
            </w:pict>
          </mc:Fallback>
        </mc:AlternateContent>
      </w:r>
      <w:r>
        <w:rPr>
          <w:rFonts w:ascii="Times New Roman" w:hAnsi="Times New Roman"/>
          <w:b/>
          <w:position w:val="1"/>
          <w:sz w:val="18"/>
        </w:rPr>
        <w:t>Resultado</w:t>
      </w:r>
      <w:r>
        <w:rPr>
          <w:rFonts w:ascii="Times New Roman" w:hAnsi="Times New Roman"/>
          <w:b/>
          <w:spacing w:val="-2"/>
          <w:position w:val="1"/>
          <w:sz w:val="18"/>
        </w:rPr>
        <w:t> </w:t>
      </w:r>
      <w:r>
        <w:rPr>
          <w:rFonts w:ascii="Times New Roman" w:hAnsi="Times New Roman"/>
          <w:b/>
          <w:spacing w:val="-5"/>
          <w:position w:val="1"/>
          <w:sz w:val="18"/>
        </w:rPr>
        <w:t>PEI</w:t>
      </w:r>
      <w:r>
        <w:rPr>
          <w:rFonts w:ascii="Times New Roman" w:hAnsi="Times New Roman"/>
          <w:b/>
          <w:position w:val="1"/>
          <w:sz w:val="18"/>
        </w:rPr>
        <w:tab/>
      </w:r>
      <w:r>
        <w:rPr>
          <w:rFonts w:ascii="Times New Roman" w:hAnsi="Times New Roman"/>
          <w:sz w:val="19"/>
        </w:rPr>
        <w:t>5.4.2</w:t>
      </w:r>
      <w:r>
        <w:rPr>
          <w:rFonts w:ascii="Times New Roman" w:hAnsi="Times New Roman"/>
          <w:spacing w:val="31"/>
          <w:sz w:val="19"/>
        </w:rPr>
        <w:t> </w:t>
      </w:r>
      <w:r>
        <w:rPr>
          <w:rFonts w:ascii="Times New Roman" w:hAnsi="Times New Roman"/>
          <w:sz w:val="19"/>
        </w:rPr>
        <w:t>Emitida</w:t>
      </w:r>
      <w:r>
        <w:rPr>
          <w:rFonts w:ascii="Times New Roman" w:hAnsi="Times New Roman"/>
          <w:spacing w:val="30"/>
          <w:sz w:val="19"/>
        </w:rPr>
        <w:t> </w:t>
      </w:r>
      <w:r>
        <w:rPr>
          <w:rFonts w:ascii="Times New Roman" w:hAnsi="Times New Roman"/>
          <w:sz w:val="19"/>
        </w:rPr>
        <w:t>o</w:t>
      </w:r>
      <w:r>
        <w:rPr>
          <w:rFonts w:ascii="Times New Roman" w:hAnsi="Times New Roman"/>
          <w:spacing w:val="31"/>
          <w:sz w:val="19"/>
        </w:rPr>
        <w:t> </w:t>
      </w:r>
      <w:r>
        <w:rPr>
          <w:rFonts w:ascii="Times New Roman" w:hAnsi="Times New Roman"/>
          <w:sz w:val="19"/>
        </w:rPr>
        <w:t>actualizada</w:t>
      </w:r>
      <w:r>
        <w:rPr>
          <w:rFonts w:ascii="Times New Roman" w:hAnsi="Times New Roman"/>
          <w:spacing w:val="28"/>
          <w:sz w:val="19"/>
        </w:rPr>
        <w:t> </w:t>
      </w:r>
      <w:r>
        <w:rPr>
          <w:rFonts w:ascii="Times New Roman" w:hAnsi="Times New Roman"/>
          <w:sz w:val="19"/>
        </w:rPr>
        <w:t>la</w:t>
      </w:r>
      <w:r>
        <w:rPr>
          <w:rFonts w:ascii="Times New Roman" w:hAnsi="Times New Roman"/>
          <w:spacing w:val="30"/>
          <w:sz w:val="19"/>
        </w:rPr>
        <w:t> </w:t>
      </w:r>
      <w:r>
        <w:rPr>
          <w:rFonts w:ascii="Times New Roman" w:hAnsi="Times New Roman"/>
          <w:sz w:val="19"/>
        </w:rPr>
        <w:t>normativa</w:t>
      </w:r>
      <w:r>
        <w:rPr>
          <w:rFonts w:ascii="Times New Roman" w:hAnsi="Times New Roman"/>
          <w:spacing w:val="30"/>
          <w:sz w:val="19"/>
        </w:rPr>
        <w:t> </w:t>
      </w:r>
      <w:r>
        <w:rPr>
          <w:rFonts w:ascii="Times New Roman" w:hAnsi="Times New Roman"/>
          <w:sz w:val="19"/>
        </w:rPr>
        <w:t>para</w:t>
      </w:r>
      <w:r>
        <w:rPr>
          <w:rFonts w:ascii="Times New Roman" w:hAnsi="Times New Roman"/>
          <w:spacing w:val="30"/>
          <w:sz w:val="19"/>
        </w:rPr>
        <w:t> </w:t>
      </w:r>
      <w:r>
        <w:rPr>
          <w:rFonts w:ascii="Times New Roman" w:hAnsi="Times New Roman"/>
          <w:sz w:val="19"/>
        </w:rPr>
        <w:t>contratación</w:t>
      </w:r>
      <w:r>
        <w:rPr>
          <w:rFonts w:ascii="Times New Roman" w:hAnsi="Times New Roman"/>
          <w:spacing w:val="27"/>
          <w:sz w:val="19"/>
        </w:rPr>
        <w:t> </w:t>
      </w:r>
      <w:r>
        <w:rPr>
          <w:rFonts w:ascii="Times New Roman" w:hAnsi="Times New Roman"/>
          <w:sz w:val="19"/>
        </w:rPr>
        <w:t>de</w:t>
      </w:r>
      <w:r>
        <w:rPr>
          <w:rFonts w:ascii="Times New Roman" w:hAnsi="Times New Roman"/>
          <w:spacing w:val="30"/>
          <w:sz w:val="19"/>
        </w:rPr>
        <w:t> </w:t>
      </w:r>
      <w:r>
        <w:rPr>
          <w:rFonts w:ascii="Times New Roman" w:hAnsi="Times New Roman"/>
          <w:sz w:val="19"/>
        </w:rPr>
        <w:t>bienes</w:t>
      </w:r>
      <w:r>
        <w:rPr>
          <w:rFonts w:ascii="Times New Roman" w:hAnsi="Times New Roman"/>
          <w:spacing w:val="28"/>
          <w:sz w:val="19"/>
        </w:rPr>
        <w:t> </w:t>
      </w:r>
      <w:r>
        <w:rPr>
          <w:rFonts w:ascii="Times New Roman" w:hAnsi="Times New Roman"/>
          <w:sz w:val="19"/>
        </w:rPr>
        <w:t>y</w:t>
      </w:r>
      <w:r>
        <w:rPr>
          <w:rFonts w:ascii="Times New Roman" w:hAnsi="Times New Roman"/>
          <w:spacing w:val="31"/>
          <w:sz w:val="19"/>
        </w:rPr>
        <w:t> </w:t>
      </w:r>
      <w:r>
        <w:rPr>
          <w:rFonts w:ascii="Times New Roman" w:hAnsi="Times New Roman"/>
          <w:sz w:val="19"/>
        </w:rPr>
        <w:t>servicios,</w:t>
      </w:r>
      <w:r>
        <w:rPr>
          <w:rFonts w:ascii="Times New Roman" w:hAnsi="Times New Roman"/>
          <w:spacing w:val="29"/>
          <w:sz w:val="19"/>
        </w:rPr>
        <w:t> </w:t>
      </w:r>
      <w:r>
        <w:rPr>
          <w:rFonts w:ascii="Times New Roman" w:hAnsi="Times New Roman"/>
          <w:sz w:val="19"/>
        </w:rPr>
        <w:t>y</w:t>
      </w:r>
      <w:r>
        <w:rPr>
          <w:rFonts w:ascii="Times New Roman" w:hAnsi="Times New Roman"/>
          <w:spacing w:val="31"/>
          <w:sz w:val="19"/>
        </w:rPr>
        <w:t> </w:t>
      </w:r>
      <w:r>
        <w:rPr>
          <w:rFonts w:ascii="Times New Roman" w:hAnsi="Times New Roman"/>
          <w:spacing w:val="-2"/>
          <w:sz w:val="19"/>
        </w:rPr>
        <w:t>manual</w:t>
      </w:r>
      <w:r>
        <w:rPr>
          <w:rFonts w:ascii="Times New Roman" w:hAnsi="Times New Roman"/>
          <w:sz w:val="19"/>
        </w:rPr>
        <w:tab/>
        <w:t>30,00</w:t>
      </w:r>
      <w:r>
        <w:rPr>
          <w:rFonts w:ascii="Times New Roman" w:hAnsi="Times New Roman"/>
          <w:spacing w:val="30"/>
          <w:sz w:val="19"/>
        </w:rPr>
        <w:t> </w:t>
      </w:r>
      <w:r>
        <w:rPr>
          <w:rFonts w:ascii="Times New Roman" w:hAnsi="Times New Roman"/>
          <w:spacing w:val="-10"/>
          <w:sz w:val="19"/>
        </w:rPr>
        <w:t>%</w:t>
      </w:r>
    </w:p>
    <w:p>
      <w:pPr>
        <w:spacing w:after="0"/>
        <w:jc w:val="left"/>
        <w:rPr>
          <w:rFonts w:ascii="Times New Roman" w:hAnsi="Times New Roman"/>
          <w:sz w:val="19"/>
        </w:rPr>
        <w:sectPr>
          <w:type w:val="continuous"/>
          <w:pgSz w:w="13370" w:h="17280"/>
          <w:pgMar w:header="507" w:footer="840" w:top="1120" w:bottom="1160" w:left="1275" w:right="992"/>
        </w:sectPr>
      </w:pPr>
    </w:p>
    <w:p>
      <w:pPr>
        <w:pStyle w:val="BodyText"/>
        <w:spacing w:before="5"/>
        <w:rPr>
          <w:rFonts w:ascii="Times New Roman"/>
          <w:sz w:val="2"/>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28"/>
        <w:gridCol w:w="4726"/>
      </w:tblGrid>
      <w:tr>
        <w:trPr>
          <w:trHeight w:val="702" w:hRule="atLeast"/>
        </w:trPr>
        <w:tc>
          <w:tcPr>
            <w:tcW w:w="1709" w:type="dxa"/>
          </w:tcPr>
          <w:p>
            <w:pPr>
              <w:pStyle w:val="TableParagraph"/>
              <w:ind w:left="54"/>
              <w:rPr>
                <w:sz w:val="19"/>
              </w:rPr>
            </w:pPr>
            <w:r>
              <w:rPr>
                <w:spacing w:val="-4"/>
                <w:sz w:val="19"/>
              </w:rPr>
              <w:t>2024</w:t>
            </w:r>
          </w:p>
        </w:tc>
        <w:tc>
          <w:tcPr>
            <w:tcW w:w="4028" w:type="dxa"/>
          </w:tcPr>
          <w:p>
            <w:pPr>
              <w:pStyle w:val="TableParagraph"/>
              <w:ind w:left="42" w:right="41"/>
              <w:jc w:val="both"/>
              <w:rPr>
                <w:sz w:val="19"/>
              </w:rPr>
            </w:pPr>
            <w:r>
              <w:rPr>
                <w:sz w:val="19"/>
              </w:rPr>
              <w:t>PEC</w:t>
            </w:r>
            <w:r>
              <w:rPr>
                <w:spacing w:val="-4"/>
                <w:sz w:val="19"/>
              </w:rPr>
              <w:t> </w:t>
            </w:r>
            <w:r>
              <w:rPr>
                <w:sz w:val="19"/>
              </w:rPr>
              <w:t>3.7.1:</w:t>
            </w:r>
            <w:r>
              <w:rPr>
                <w:spacing w:val="-6"/>
                <w:sz w:val="19"/>
              </w:rPr>
              <w:t> </w:t>
            </w:r>
            <w:r>
              <w:rPr>
                <w:sz w:val="19"/>
              </w:rPr>
              <w:t>Reglamento</w:t>
            </w:r>
            <w:r>
              <w:rPr>
                <w:spacing w:val="-3"/>
                <w:sz w:val="19"/>
              </w:rPr>
              <w:t> </w:t>
            </w:r>
            <w:r>
              <w:rPr>
                <w:sz w:val="19"/>
              </w:rPr>
              <w:t>aprobado</w:t>
            </w:r>
            <w:r>
              <w:rPr>
                <w:spacing w:val="-5"/>
                <w:sz w:val="19"/>
              </w:rPr>
              <w:t> </w:t>
            </w:r>
            <w:r>
              <w:rPr>
                <w:sz w:val="19"/>
              </w:rPr>
              <w:t>para</w:t>
            </w:r>
            <w:r>
              <w:rPr>
                <w:spacing w:val="-4"/>
                <w:sz w:val="19"/>
              </w:rPr>
              <w:t> </w:t>
            </w:r>
            <w:r>
              <w:rPr>
                <w:sz w:val="19"/>
              </w:rPr>
              <w:t>contratación de Bienes y Servicios adecuado a las particularidades del negocio</w:t>
            </w:r>
          </w:p>
        </w:tc>
        <w:tc>
          <w:tcPr>
            <w:tcW w:w="4726" w:type="dxa"/>
          </w:tcPr>
          <w:p>
            <w:pPr>
              <w:pStyle w:val="TableParagraph"/>
              <w:ind w:left="47" w:right="41"/>
              <w:jc w:val="both"/>
              <w:rPr>
                <w:sz w:val="19"/>
              </w:rPr>
            </w:pPr>
            <w:r>
              <w:rPr>
                <w:sz w:val="19"/>
              </w:rPr>
              <w:t>Se está revisando si el mismo procede o se sale de nuestra legislación interna. La Asesoría Jurídica analiza sobre la inviabilidad de este.</w:t>
            </w:r>
          </w:p>
        </w:tc>
      </w:tr>
    </w:tbl>
    <w:p>
      <w:pPr>
        <w:tabs>
          <w:tab w:pos="1648" w:val="left" w:leader="none"/>
          <w:tab w:pos="9450" w:val="left" w:leader="none"/>
        </w:tabs>
        <w:spacing w:before="149"/>
        <w:ind w:left="208" w:right="0" w:firstLine="0"/>
        <w:jc w:val="left"/>
        <w:rPr>
          <w:rFonts w:ascii="Times New Roman"/>
          <w:sz w:val="19"/>
        </w:rPr>
      </w:pPr>
      <w:r>
        <w:rPr>
          <w:rFonts w:ascii="Times New Roman"/>
          <w:sz w:val="19"/>
        </w:rPr>
        <w:drawing>
          <wp:anchor distT="0" distB="0" distL="0" distR="0" allowOverlap="1" layoutInCell="1" locked="0" behindDoc="0" simplePos="0" relativeHeight="15753216">
            <wp:simplePos x="0" y="0"/>
            <wp:positionH relativeFrom="page">
              <wp:posOffset>7333615</wp:posOffset>
            </wp:positionH>
            <wp:positionV relativeFrom="paragraph">
              <wp:posOffset>95251</wp:posOffset>
            </wp:positionV>
            <wp:extent cx="199390" cy="161544"/>
            <wp:effectExtent l="0" t="0" r="0" b="0"/>
            <wp:wrapNone/>
            <wp:docPr id="96" name="Image 96"/>
            <wp:cNvGraphicFramePr>
              <a:graphicFrameLocks/>
            </wp:cNvGraphicFramePr>
            <a:graphic>
              <a:graphicData uri="http://schemas.openxmlformats.org/drawingml/2006/picture">
                <pic:pic>
                  <pic:nvPicPr>
                    <pic:cNvPr id="96" name="Image 96"/>
                    <pic:cNvPicPr/>
                  </pic:nvPicPr>
                  <pic:blipFill>
                    <a:blip r:embed="rId54" cstate="print"/>
                    <a:stretch>
                      <a:fillRect/>
                    </a:stretch>
                  </pic:blipFill>
                  <pic:spPr>
                    <a:xfrm>
                      <a:off x="0" y="0"/>
                      <a:ext cx="199390" cy="161544"/>
                    </a:xfrm>
                    <a:prstGeom prst="rect">
                      <a:avLst/>
                    </a:prstGeom>
                  </pic:spPr>
                </pic:pic>
              </a:graphicData>
            </a:graphic>
          </wp:anchor>
        </w:drawing>
      </w:r>
      <w:r>
        <w:rPr>
          <w:rFonts w:ascii="Times New Roman"/>
          <w:b/>
          <w:position w:val="1"/>
          <w:sz w:val="18"/>
        </w:rPr>
        <w:t>Resultado</w:t>
      </w:r>
      <w:r>
        <w:rPr>
          <w:rFonts w:ascii="Times New Roman"/>
          <w:b/>
          <w:spacing w:val="-2"/>
          <w:position w:val="1"/>
          <w:sz w:val="18"/>
        </w:rPr>
        <w:t> </w:t>
      </w:r>
      <w:r>
        <w:rPr>
          <w:rFonts w:ascii="Times New Roman"/>
          <w:b/>
          <w:spacing w:val="-5"/>
          <w:position w:val="1"/>
          <w:sz w:val="18"/>
        </w:rPr>
        <w:t>PEI</w:t>
      </w:r>
      <w:r>
        <w:rPr>
          <w:rFonts w:ascii="Times New Roman"/>
          <w:b/>
          <w:position w:val="1"/>
          <w:sz w:val="18"/>
        </w:rPr>
        <w:tab/>
      </w:r>
      <w:r>
        <w:rPr>
          <w:rFonts w:ascii="Times New Roman"/>
          <w:sz w:val="19"/>
        </w:rPr>
        <w:t>5.5.2</w:t>
      </w:r>
      <w:r>
        <w:rPr>
          <w:rFonts w:ascii="Times New Roman"/>
          <w:spacing w:val="-7"/>
          <w:sz w:val="19"/>
        </w:rPr>
        <w:t> </w:t>
      </w:r>
      <w:r>
        <w:rPr>
          <w:rFonts w:ascii="Times New Roman"/>
          <w:sz w:val="19"/>
        </w:rPr>
        <w:t>E-commerce</w:t>
      </w:r>
      <w:r>
        <w:rPr>
          <w:rFonts w:ascii="Times New Roman"/>
          <w:spacing w:val="-8"/>
          <w:sz w:val="19"/>
        </w:rPr>
        <w:t> </w:t>
      </w:r>
      <w:r>
        <w:rPr>
          <w:rFonts w:ascii="Times New Roman"/>
          <w:sz w:val="19"/>
        </w:rPr>
        <w:t>optimizado</w:t>
      </w:r>
      <w:r>
        <w:rPr>
          <w:rFonts w:ascii="Times New Roman"/>
          <w:spacing w:val="-6"/>
          <w:sz w:val="19"/>
        </w:rPr>
        <w:t> </w:t>
      </w:r>
      <w:r>
        <w:rPr>
          <w:rFonts w:ascii="Times New Roman"/>
          <w:sz w:val="19"/>
        </w:rPr>
        <w:t>para</w:t>
      </w:r>
      <w:r>
        <w:rPr>
          <w:rFonts w:ascii="Times New Roman"/>
          <w:spacing w:val="-8"/>
          <w:sz w:val="19"/>
        </w:rPr>
        <w:t> </w:t>
      </w:r>
      <w:r>
        <w:rPr>
          <w:rFonts w:ascii="Times New Roman"/>
          <w:sz w:val="19"/>
        </w:rPr>
        <w:t>potenciar</w:t>
      </w:r>
      <w:r>
        <w:rPr>
          <w:rFonts w:ascii="Times New Roman"/>
          <w:spacing w:val="-7"/>
          <w:sz w:val="19"/>
        </w:rPr>
        <w:t> </w:t>
      </w:r>
      <w:r>
        <w:rPr>
          <w:rFonts w:ascii="Times New Roman"/>
          <w:sz w:val="19"/>
        </w:rPr>
        <w:t>el</w:t>
      </w:r>
      <w:r>
        <w:rPr>
          <w:rFonts w:ascii="Times New Roman"/>
          <w:spacing w:val="-8"/>
          <w:sz w:val="19"/>
        </w:rPr>
        <w:t> </w:t>
      </w:r>
      <w:r>
        <w:rPr>
          <w:rFonts w:ascii="Times New Roman"/>
          <w:spacing w:val="-2"/>
          <w:sz w:val="19"/>
        </w:rPr>
        <w:t>negocio.</w:t>
      </w:r>
      <w:r>
        <w:rPr>
          <w:rFonts w:ascii="Times New Roman"/>
          <w:sz w:val="19"/>
        </w:rPr>
        <w:tab/>
        <w:t>2,23</w:t>
      </w:r>
      <w:r>
        <w:rPr>
          <w:rFonts w:ascii="Times New Roman"/>
          <w:spacing w:val="33"/>
          <w:sz w:val="19"/>
        </w:rPr>
        <w:t> </w:t>
      </w:r>
      <w:r>
        <w:rPr>
          <w:rFonts w:ascii="Times New Roman"/>
          <w:spacing w:val="-10"/>
          <w:sz w:val="19"/>
        </w:rPr>
        <w:t>%</w:t>
      </w:r>
    </w:p>
    <w:p>
      <w:pPr>
        <w:pStyle w:val="BodyText"/>
        <w:spacing w:before="31" w:after="1"/>
        <w:rPr>
          <w:rFonts w:ascii="Times New Roman"/>
          <w:sz w:val="20"/>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1600"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ind w:left="42" w:right="37"/>
              <w:jc w:val="both"/>
              <w:rPr>
                <w:sz w:val="19"/>
              </w:rPr>
            </w:pPr>
            <w:r>
              <w:rPr>
                <w:sz w:val="19"/>
              </w:rPr>
              <w:t>PEC 3.9.1: Evaluar la identidad de los clientes con la página electrónica de Duty Free IMAS y la</w:t>
            </w:r>
            <w:r>
              <w:rPr>
                <w:spacing w:val="40"/>
                <w:sz w:val="19"/>
              </w:rPr>
              <w:t> </w:t>
            </w:r>
            <w:r>
              <w:rPr>
                <w:sz w:val="19"/>
              </w:rPr>
              <w:t>marca como un Programa Social (Partida 1.08.08) </w:t>
            </w:r>
            <w:r>
              <w:rPr>
                <w:spacing w:val="-2"/>
                <w:sz w:val="19"/>
              </w:rPr>
              <w:t>(AEC)</w:t>
            </w:r>
          </w:p>
        </w:tc>
        <w:tc>
          <w:tcPr>
            <w:tcW w:w="4726" w:type="dxa"/>
            <w:tcBorders>
              <w:top w:val="single" w:sz="12" w:space="0" w:color="000000"/>
              <w:bottom w:val="single" w:sz="12" w:space="0" w:color="000000"/>
            </w:tcBorders>
          </w:tcPr>
          <w:p>
            <w:pPr>
              <w:pStyle w:val="TableParagraph"/>
              <w:ind w:left="45" w:right="38"/>
              <w:jc w:val="both"/>
              <w:rPr>
                <w:sz w:val="19"/>
              </w:rPr>
            </w:pPr>
            <w:r>
              <w:rPr>
                <w:sz w:val="19"/>
              </w:rPr>
              <w:t>Se actualizó la página web y se encuentra en proceso de evaluación por parte de la administración. Se está valorando ajustar la meta, ya que no se adapta a la realidad actual, por lo que se pudo dar un error en la proyección de esta. Además, se está trabajando para llevar a cabo una nueva contratación administrativa que sea más robusta y así ampliar los canales.</w:t>
            </w:r>
          </w:p>
        </w:tc>
      </w:tr>
      <w:tr>
        <w:trPr>
          <w:trHeight w:val="704" w:hRule="atLeast"/>
        </w:trPr>
        <w:tc>
          <w:tcPr>
            <w:tcW w:w="1709" w:type="dxa"/>
            <w:tcBorders>
              <w:top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tcBorders>
          </w:tcPr>
          <w:p>
            <w:pPr>
              <w:pStyle w:val="TableParagraph"/>
              <w:spacing w:line="242" w:lineRule="auto"/>
              <w:ind w:left="42"/>
              <w:rPr>
                <w:sz w:val="19"/>
              </w:rPr>
            </w:pPr>
            <w:r>
              <w:rPr>
                <w:sz w:val="19"/>
              </w:rPr>
              <w:t>PEC</w:t>
            </w:r>
            <w:r>
              <w:rPr>
                <w:spacing w:val="29"/>
                <w:sz w:val="19"/>
              </w:rPr>
              <w:t> </w:t>
            </w:r>
            <w:r>
              <w:rPr>
                <w:sz w:val="19"/>
              </w:rPr>
              <w:t>3.9.2:</w:t>
            </w:r>
            <w:r>
              <w:rPr>
                <w:spacing w:val="29"/>
                <w:sz w:val="19"/>
              </w:rPr>
              <w:t> </w:t>
            </w:r>
            <w:r>
              <w:rPr>
                <w:sz w:val="19"/>
              </w:rPr>
              <w:t>Estrategias</w:t>
            </w:r>
            <w:r>
              <w:rPr>
                <w:spacing w:val="29"/>
                <w:sz w:val="19"/>
              </w:rPr>
              <w:t> </w:t>
            </w:r>
            <w:r>
              <w:rPr>
                <w:sz w:val="19"/>
              </w:rPr>
              <w:t>que</w:t>
            </w:r>
            <w:r>
              <w:rPr>
                <w:spacing w:val="28"/>
                <w:sz w:val="19"/>
              </w:rPr>
              <w:t> </w:t>
            </w:r>
            <w:r>
              <w:rPr>
                <w:sz w:val="19"/>
              </w:rPr>
              <w:t>permitan</w:t>
            </w:r>
            <w:r>
              <w:rPr>
                <w:spacing w:val="29"/>
                <w:sz w:val="19"/>
              </w:rPr>
              <w:t> </w:t>
            </w:r>
            <w:r>
              <w:rPr>
                <w:sz w:val="19"/>
              </w:rPr>
              <w:t>optimizar</w:t>
            </w:r>
            <w:r>
              <w:rPr>
                <w:spacing w:val="27"/>
                <w:sz w:val="19"/>
              </w:rPr>
              <w:t> </w:t>
            </w:r>
            <w:r>
              <w:rPr>
                <w:sz w:val="19"/>
              </w:rPr>
              <w:t>la herramienta y potenciar el negocio</w:t>
            </w:r>
          </w:p>
        </w:tc>
        <w:tc>
          <w:tcPr>
            <w:tcW w:w="4726" w:type="dxa"/>
            <w:tcBorders>
              <w:top w:val="single" w:sz="12" w:space="0" w:color="000000"/>
            </w:tcBorders>
          </w:tcPr>
          <w:p>
            <w:pPr>
              <w:pStyle w:val="TableParagraph"/>
              <w:spacing w:line="242" w:lineRule="auto"/>
              <w:ind w:left="45" w:right="43"/>
              <w:jc w:val="both"/>
              <w:rPr>
                <w:sz w:val="19"/>
              </w:rPr>
            </w:pPr>
            <w:r>
              <w:rPr>
                <w:sz w:val="19"/>
              </w:rPr>
              <w:t>Se está valorando ajustar la meta, ya que no se adapta a la realidad actual, por lo que se pudo dar un error en la proyección de esta.</w:t>
            </w:r>
          </w:p>
        </w:tc>
      </w:tr>
    </w:tbl>
    <w:p>
      <w:pPr>
        <w:pStyle w:val="BodyText"/>
        <w:spacing w:before="1"/>
        <w:rPr>
          <w:rFonts w:ascii="Times New Roman"/>
          <w:sz w:val="6"/>
        </w:rPr>
      </w:pPr>
    </w:p>
    <w:p>
      <w:pPr>
        <w:pStyle w:val="BodyText"/>
        <w:spacing w:after="0"/>
        <w:rPr>
          <w:rFonts w:ascii="Times New Roman"/>
          <w:sz w:val="6"/>
        </w:rPr>
        <w:sectPr>
          <w:headerReference w:type="default" r:id="rId52"/>
          <w:footerReference w:type="default" r:id="rId53"/>
          <w:pgSz w:w="13370" w:h="17280"/>
          <w:pgMar w:header="507" w:footer="969" w:top="1340" w:bottom="1160" w:left="1275" w:right="992"/>
        </w:sectPr>
      </w:pPr>
    </w:p>
    <w:p>
      <w:pPr>
        <w:tabs>
          <w:tab w:pos="1648" w:val="left" w:leader="none"/>
        </w:tabs>
        <w:spacing w:before="79"/>
        <w:ind w:left="1648" w:right="39" w:hanging="1440"/>
        <w:jc w:val="left"/>
        <w:rPr>
          <w:rFonts w:ascii="Times New Roman" w:hAnsi="Times New Roman"/>
          <w:sz w:val="19"/>
        </w:rPr>
      </w:pPr>
      <w:r>
        <w:rPr>
          <w:rFonts w:ascii="Times New Roman" w:hAnsi="Times New Roman"/>
          <w:sz w:val="19"/>
        </w:rPr>
        <w:drawing>
          <wp:anchor distT="0" distB="0" distL="0" distR="0" allowOverlap="1" layoutInCell="1" locked="0" behindDoc="0" simplePos="0" relativeHeight="15753728">
            <wp:simplePos x="0" y="0"/>
            <wp:positionH relativeFrom="page">
              <wp:posOffset>7333615</wp:posOffset>
            </wp:positionH>
            <wp:positionV relativeFrom="paragraph">
              <wp:posOffset>49533</wp:posOffset>
            </wp:positionV>
            <wp:extent cx="199390" cy="163957"/>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55" cstate="print"/>
                    <a:stretch>
                      <a:fillRect/>
                    </a:stretch>
                  </pic:blipFill>
                  <pic:spPr>
                    <a:xfrm>
                      <a:off x="0" y="0"/>
                      <a:ext cx="199390" cy="163957"/>
                    </a:xfrm>
                    <a:prstGeom prst="rect">
                      <a:avLst/>
                    </a:prstGeom>
                  </pic:spPr>
                </pic:pic>
              </a:graphicData>
            </a:graphic>
          </wp:anchor>
        </w:drawing>
      </w:r>
      <w:r>
        <w:rPr>
          <w:rFonts w:ascii="Times New Roman" w:hAnsi="Times New Roman"/>
          <w:b/>
          <w:position w:val="1"/>
          <w:sz w:val="18"/>
        </w:rPr>
        <w:t>Resultado PEI</w:t>
        <w:tab/>
      </w:r>
      <w:r>
        <w:rPr>
          <w:rFonts w:ascii="Times New Roman" w:hAnsi="Times New Roman"/>
          <w:sz w:val="19"/>
        </w:rPr>
        <w:t>5.9.2 Normativa institucional de donaciones ajustada, para incrementar la captación y donación de bienes y dinero</w:t>
      </w:r>
    </w:p>
    <w:p>
      <w:pPr>
        <w:spacing w:before="79"/>
        <w:ind w:left="208" w:right="0" w:firstLine="0"/>
        <w:jc w:val="left"/>
        <w:rPr>
          <w:rFonts w:ascii="Times New Roman"/>
          <w:sz w:val="19"/>
        </w:rPr>
      </w:pPr>
      <w:r>
        <w:rPr/>
        <w:br w:type="column"/>
      </w:r>
      <w:r>
        <w:rPr>
          <w:rFonts w:ascii="Times New Roman"/>
          <w:sz w:val="19"/>
        </w:rPr>
        <w:t>15,00</w:t>
      </w:r>
      <w:r>
        <w:rPr>
          <w:rFonts w:ascii="Times New Roman"/>
          <w:spacing w:val="30"/>
          <w:sz w:val="19"/>
        </w:rPr>
        <w:t> </w:t>
      </w:r>
      <w:r>
        <w:rPr>
          <w:rFonts w:ascii="Times New Roman"/>
          <w:spacing w:val="-10"/>
          <w:sz w:val="19"/>
        </w:rPr>
        <w:t>%</w:t>
      </w:r>
    </w:p>
    <w:p>
      <w:pPr>
        <w:spacing w:after="0"/>
        <w:jc w:val="left"/>
        <w:rPr>
          <w:rFonts w:ascii="Times New Roman"/>
          <w:sz w:val="19"/>
        </w:rPr>
        <w:sectPr>
          <w:type w:val="continuous"/>
          <w:pgSz w:w="13370" w:h="17280"/>
          <w:pgMar w:header="507" w:footer="969" w:top="1120" w:bottom="1160" w:left="1275" w:right="992"/>
          <w:cols w:num="2" w:equalWidth="0">
            <w:col w:w="9004" w:space="144"/>
            <w:col w:w="1955"/>
          </w:cols>
        </w:sectPr>
      </w:pPr>
    </w:p>
    <w:p>
      <w:pPr>
        <w:pStyle w:val="BodyText"/>
        <w:spacing w:before="10" w:after="1"/>
        <w:rPr>
          <w:rFonts w:ascii="Times New Roman"/>
          <w:sz w:val="13"/>
        </w:rPr>
      </w:pPr>
    </w:p>
    <w:tbl>
      <w:tblPr>
        <w:tblW w:w="0" w:type="auto"/>
        <w:jc w:val="left"/>
        <w:tblInd w:w="1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9"/>
        <w:gridCol w:w="4030"/>
        <w:gridCol w:w="4726"/>
      </w:tblGrid>
      <w:tr>
        <w:trPr>
          <w:trHeight w:val="330" w:hRule="atLeast"/>
        </w:trPr>
        <w:tc>
          <w:tcPr>
            <w:tcW w:w="1709" w:type="dxa"/>
            <w:tcBorders>
              <w:bottom w:val="single" w:sz="12" w:space="0" w:color="000000"/>
              <w:right w:val="single" w:sz="2" w:space="0" w:color="000000"/>
            </w:tcBorders>
            <w:shd w:val="clear" w:color="auto" w:fill="E4E4E4"/>
          </w:tcPr>
          <w:p>
            <w:pPr>
              <w:pStyle w:val="TableParagraph"/>
              <w:spacing w:line="207" w:lineRule="exact"/>
              <w:ind w:left="508"/>
              <w:rPr>
                <w:b/>
                <w:sz w:val="18"/>
              </w:rPr>
            </w:pPr>
            <w:r>
              <w:rPr>
                <w:b/>
                <w:sz w:val="18"/>
              </w:rPr>
              <w:t>Año</w:t>
            </w:r>
            <w:r>
              <w:rPr>
                <w:b/>
                <w:spacing w:val="1"/>
                <w:sz w:val="18"/>
              </w:rPr>
              <w:t> </w:t>
            </w:r>
            <w:r>
              <w:rPr>
                <w:b/>
                <w:spacing w:val="-5"/>
                <w:sz w:val="18"/>
              </w:rPr>
              <w:t>POI</w:t>
            </w:r>
          </w:p>
        </w:tc>
        <w:tc>
          <w:tcPr>
            <w:tcW w:w="4030" w:type="dxa"/>
            <w:tcBorders>
              <w:left w:val="single" w:sz="2" w:space="0" w:color="000000"/>
              <w:bottom w:val="single" w:sz="12" w:space="0" w:color="000000"/>
              <w:right w:val="single" w:sz="2" w:space="0" w:color="000000"/>
            </w:tcBorders>
            <w:shd w:val="clear" w:color="auto" w:fill="E4E4E4"/>
          </w:tcPr>
          <w:p>
            <w:pPr>
              <w:pStyle w:val="TableParagraph"/>
              <w:spacing w:line="207" w:lineRule="exact"/>
              <w:jc w:val="center"/>
              <w:rPr>
                <w:b/>
                <w:sz w:val="18"/>
              </w:rPr>
            </w:pPr>
            <w:r>
              <w:rPr>
                <w:b/>
                <w:sz w:val="18"/>
              </w:rPr>
              <w:t>Actividad</w:t>
            </w:r>
            <w:r>
              <w:rPr>
                <w:b/>
                <w:spacing w:val="-5"/>
                <w:sz w:val="18"/>
              </w:rPr>
              <w:t> POI</w:t>
            </w:r>
          </w:p>
        </w:tc>
        <w:tc>
          <w:tcPr>
            <w:tcW w:w="4726" w:type="dxa"/>
            <w:tcBorders>
              <w:left w:val="single" w:sz="2" w:space="0" w:color="000000"/>
              <w:bottom w:val="single" w:sz="12" w:space="0" w:color="000000"/>
            </w:tcBorders>
            <w:shd w:val="clear" w:color="auto" w:fill="E4E4E4"/>
          </w:tcPr>
          <w:p>
            <w:pPr>
              <w:pStyle w:val="TableParagraph"/>
              <w:spacing w:line="207" w:lineRule="exact"/>
              <w:ind w:left="12" w:right="4"/>
              <w:jc w:val="center"/>
              <w:rPr>
                <w:b/>
                <w:sz w:val="18"/>
              </w:rPr>
            </w:pPr>
            <w:r>
              <w:rPr>
                <w:b/>
                <w:spacing w:val="-2"/>
                <w:sz w:val="18"/>
              </w:rPr>
              <w:t>Justificación</w:t>
            </w:r>
          </w:p>
        </w:tc>
      </w:tr>
      <w:tr>
        <w:trPr>
          <w:trHeight w:val="1153" w:hRule="atLeast"/>
        </w:trPr>
        <w:tc>
          <w:tcPr>
            <w:tcW w:w="1709" w:type="dxa"/>
            <w:tcBorders>
              <w:top w:val="single" w:sz="12" w:space="0" w:color="000000"/>
              <w:bottom w:val="single" w:sz="12" w:space="0" w:color="000000"/>
            </w:tcBorders>
          </w:tcPr>
          <w:p>
            <w:pPr>
              <w:pStyle w:val="TableParagraph"/>
              <w:spacing w:line="218" w:lineRule="exact"/>
              <w:ind w:left="54"/>
              <w:rPr>
                <w:sz w:val="19"/>
              </w:rPr>
            </w:pPr>
            <w:r>
              <w:rPr>
                <w:spacing w:val="-4"/>
                <w:sz w:val="19"/>
              </w:rPr>
              <w:t>2024</w:t>
            </w:r>
          </w:p>
        </w:tc>
        <w:tc>
          <w:tcPr>
            <w:tcW w:w="4030" w:type="dxa"/>
            <w:tcBorders>
              <w:top w:val="single" w:sz="12" w:space="0" w:color="000000"/>
              <w:bottom w:val="single" w:sz="12" w:space="0" w:color="000000"/>
            </w:tcBorders>
          </w:tcPr>
          <w:p>
            <w:pPr>
              <w:pStyle w:val="TableParagraph"/>
              <w:spacing w:line="242" w:lineRule="auto"/>
              <w:ind w:left="42"/>
              <w:rPr>
                <w:sz w:val="19"/>
              </w:rPr>
            </w:pPr>
            <w:r>
              <w:rPr>
                <w:sz w:val="19"/>
              </w:rPr>
              <w:t>PAC</w:t>
            </w:r>
            <w:r>
              <w:rPr>
                <w:spacing w:val="40"/>
                <w:sz w:val="19"/>
              </w:rPr>
              <w:t> </w:t>
            </w:r>
            <w:r>
              <w:rPr>
                <w:sz w:val="19"/>
              </w:rPr>
              <w:t>2.9.9.1:</w:t>
            </w:r>
            <w:r>
              <w:rPr>
                <w:spacing w:val="40"/>
                <w:sz w:val="19"/>
              </w:rPr>
              <w:t> </w:t>
            </w:r>
            <w:r>
              <w:rPr>
                <w:sz w:val="19"/>
              </w:rPr>
              <w:t>Actualización</w:t>
            </w:r>
            <w:r>
              <w:rPr>
                <w:spacing w:val="40"/>
                <w:sz w:val="19"/>
              </w:rPr>
              <w:t> </w:t>
            </w:r>
            <w:r>
              <w:rPr>
                <w:sz w:val="19"/>
              </w:rPr>
              <w:t>del</w:t>
            </w:r>
            <w:r>
              <w:rPr>
                <w:spacing w:val="40"/>
                <w:sz w:val="19"/>
              </w:rPr>
              <w:t> </w:t>
            </w:r>
            <w:r>
              <w:rPr>
                <w:sz w:val="19"/>
              </w:rPr>
              <w:t>Reglamento</w:t>
            </w:r>
            <w:r>
              <w:rPr>
                <w:spacing w:val="40"/>
                <w:sz w:val="19"/>
              </w:rPr>
              <w:t> </w:t>
            </w:r>
            <w:r>
              <w:rPr>
                <w:sz w:val="19"/>
              </w:rPr>
              <w:t>de </w:t>
            </w:r>
            <w:r>
              <w:rPr>
                <w:spacing w:val="-2"/>
                <w:sz w:val="19"/>
              </w:rPr>
              <w:t>Donaciones.</w:t>
            </w:r>
          </w:p>
        </w:tc>
        <w:tc>
          <w:tcPr>
            <w:tcW w:w="4726" w:type="dxa"/>
            <w:tcBorders>
              <w:top w:val="single" w:sz="12" w:space="0" w:color="000000"/>
              <w:bottom w:val="single" w:sz="12" w:space="0" w:color="000000"/>
            </w:tcBorders>
          </w:tcPr>
          <w:p>
            <w:pPr>
              <w:pStyle w:val="TableParagraph"/>
              <w:ind w:left="45" w:right="42"/>
              <w:jc w:val="both"/>
              <w:rPr>
                <w:sz w:val="19"/>
              </w:rPr>
            </w:pPr>
            <w:r>
              <w:rPr>
                <w:sz w:val="19"/>
              </w:rPr>
              <w:t>Sobre la atención de este tema se hicieron convocatorias</w:t>
            </w:r>
            <w:r>
              <w:rPr>
                <w:spacing w:val="40"/>
                <w:sz w:val="19"/>
              </w:rPr>
              <w:t> </w:t>
            </w:r>
            <w:r>
              <w:rPr>
                <w:sz w:val="19"/>
              </w:rPr>
              <w:t>para reuniones semanales, pero no se logró cumplir la meta por la capacidad de recurso humano de la Unidad y el área de captación, por diferentes circunstancias presentadas </w:t>
            </w:r>
            <w:r>
              <w:rPr>
                <w:spacing w:val="-2"/>
                <w:sz w:val="19"/>
              </w:rPr>
              <w:t>(incapacidades).</w:t>
            </w:r>
          </w:p>
        </w:tc>
      </w:tr>
      <w:tr>
        <w:trPr>
          <w:trHeight w:val="479" w:hRule="atLeast"/>
        </w:trPr>
        <w:tc>
          <w:tcPr>
            <w:tcW w:w="1709" w:type="dxa"/>
            <w:tcBorders>
              <w:top w:val="single" w:sz="12" w:space="0" w:color="000000"/>
            </w:tcBorders>
          </w:tcPr>
          <w:p>
            <w:pPr>
              <w:pStyle w:val="TableParagraph"/>
              <w:spacing w:before="2"/>
              <w:ind w:left="54"/>
              <w:rPr>
                <w:sz w:val="19"/>
              </w:rPr>
            </w:pPr>
            <w:r>
              <w:rPr>
                <w:spacing w:val="-4"/>
                <w:sz w:val="19"/>
              </w:rPr>
              <w:t>2024</w:t>
            </w:r>
          </w:p>
        </w:tc>
        <w:tc>
          <w:tcPr>
            <w:tcW w:w="4030" w:type="dxa"/>
            <w:tcBorders>
              <w:top w:val="single" w:sz="12" w:space="0" w:color="000000"/>
            </w:tcBorders>
          </w:tcPr>
          <w:p>
            <w:pPr>
              <w:pStyle w:val="TableParagraph"/>
              <w:ind w:left="42"/>
              <w:rPr>
                <w:sz w:val="19"/>
              </w:rPr>
            </w:pPr>
            <w:r>
              <w:rPr>
                <w:sz w:val="19"/>
              </w:rPr>
              <w:t>PAC</w:t>
            </w:r>
            <w:r>
              <w:rPr>
                <w:spacing w:val="80"/>
                <w:sz w:val="19"/>
              </w:rPr>
              <w:t> </w:t>
            </w:r>
            <w:r>
              <w:rPr>
                <w:sz w:val="19"/>
              </w:rPr>
              <w:t>2.9.9.2:</w:t>
            </w:r>
            <w:r>
              <w:rPr>
                <w:spacing w:val="80"/>
                <w:sz w:val="19"/>
              </w:rPr>
              <w:t> </w:t>
            </w:r>
            <w:r>
              <w:rPr>
                <w:sz w:val="19"/>
              </w:rPr>
              <w:t>Actualización</w:t>
            </w:r>
            <w:r>
              <w:rPr>
                <w:spacing w:val="80"/>
                <w:sz w:val="19"/>
              </w:rPr>
              <w:t> </w:t>
            </w:r>
            <w:r>
              <w:rPr>
                <w:sz w:val="19"/>
              </w:rPr>
              <w:t>del</w:t>
            </w:r>
            <w:r>
              <w:rPr>
                <w:spacing w:val="80"/>
                <w:sz w:val="19"/>
              </w:rPr>
              <w:t> </w:t>
            </w:r>
            <w:r>
              <w:rPr>
                <w:sz w:val="19"/>
              </w:rPr>
              <w:t>Manual</w:t>
            </w:r>
            <w:r>
              <w:rPr>
                <w:spacing w:val="80"/>
                <w:sz w:val="19"/>
              </w:rPr>
              <w:t> </w:t>
            </w:r>
            <w:r>
              <w:rPr>
                <w:sz w:val="19"/>
              </w:rPr>
              <w:t>de</w:t>
            </w:r>
            <w:r>
              <w:rPr>
                <w:spacing w:val="80"/>
                <w:sz w:val="19"/>
              </w:rPr>
              <w:t> </w:t>
            </w:r>
            <w:r>
              <w:rPr>
                <w:spacing w:val="-2"/>
                <w:sz w:val="19"/>
              </w:rPr>
              <w:t>Donaciones</w:t>
            </w:r>
          </w:p>
        </w:tc>
        <w:tc>
          <w:tcPr>
            <w:tcW w:w="4726" w:type="dxa"/>
            <w:tcBorders>
              <w:top w:val="single" w:sz="12" w:space="0" w:color="000000"/>
            </w:tcBorders>
          </w:tcPr>
          <w:p>
            <w:pPr>
              <w:pStyle w:val="TableParagraph"/>
              <w:spacing w:before="2"/>
              <w:ind w:left="45"/>
              <w:rPr>
                <w:sz w:val="19"/>
              </w:rPr>
            </w:pPr>
            <w:r>
              <w:rPr>
                <w:sz w:val="19"/>
              </w:rPr>
              <w:t>No</w:t>
            </w:r>
            <w:r>
              <w:rPr>
                <w:spacing w:val="-2"/>
                <w:sz w:val="19"/>
              </w:rPr>
              <w:t> </w:t>
            </w:r>
            <w:r>
              <w:rPr>
                <w:spacing w:val="-4"/>
                <w:sz w:val="19"/>
              </w:rPr>
              <w:t>hay.</w:t>
            </w:r>
          </w:p>
        </w:tc>
      </w:tr>
    </w:tbl>
    <w:p>
      <w:pPr>
        <w:pStyle w:val="TableParagraph"/>
        <w:spacing w:after="0"/>
        <w:rPr>
          <w:sz w:val="19"/>
        </w:rPr>
        <w:sectPr>
          <w:type w:val="continuous"/>
          <w:pgSz w:w="13370" w:h="17280"/>
          <w:pgMar w:header="507" w:footer="969" w:top="1120" w:bottom="1160" w:left="1275" w:right="992"/>
        </w:sectPr>
      </w:pPr>
    </w:p>
    <w:p>
      <w:pPr>
        <w:pStyle w:val="Heading4"/>
        <w:tabs>
          <w:tab w:pos="2030" w:val="left" w:leader="none"/>
          <w:tab w:pos="7915" w:val="left" w:leader="none"/>
        </w:tabs>
        <w:spacing w:before="28"/>
        <w:ind w:left="247" w:firstLine="0"/>
        <w:rPr>
          <w:position w:val="4"/>
          <w:sz w:val="22"/>
        </w:rPr>
      </w:pPr>
      <w:r>
        <w:rPr>
          <w:position w:val="4"/>
          <w:sz w:val="22"/>
        </w:rPr>
        <w:drawing>
          <wp:anchor distT="0" distB="0" distL="0" distR="0" allowOverlap="1" layoutInCell="1" locked="0" behindDoc="1" simplePos="0" relativeHeight="486310912">
            <wp:simplePos x="0" y="0"/>
            <wp:positionH relativeFrom="page">
              <wp:posOffset>1200791</wp:posOffset>
            </wp:positionH>
            <wp:positionV relativeFrom="page">
              <wp:posOffset>4232306</wp:posOffset>
            </wp:positionV>
            <wp:extent cx="5989374" cy="1390650"/>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56" cstate="print"/>
                    <a:stretch>
                      <a:fillRect/>
                    </a:stretch>
                  </pic:blipFill>
                  <pic:spPr>
                    <a:xfrm>
                      <a:off x="0" y="0"/>
                      <a:ext cx="5989374" cy="1390650"/>
                    </a:xfrm>
                    <a:prstGeom prst="rect">
                      <a:avLst/>
                    </a:prstGeom>
                  </pic:spPr>
                </pic:pic>
              </a:graphicData>
            </a:graphic>
          </wp:anchor>
        </w:drawing>
      </w:r>
      <w:r>
        <w:rPr>
          <w:spacing w:val="-4"/>
        </w:rPr>
        <w:t>Eje:</w:t>
      </w:r>
      <w:r>
        <w:rPr/>
        <w:tab/>
        <w:t>6:</w:t>
      </w:r>
      <w:r>
        <w:rPr>
          <w:spacing w:val="-9"/>
        </w:rPr>
        <w:t> </w:t>
      </w:r>
      <w:r>
        <w:rPr/>
        <w:t>Gestión</w:t>
      </w:r>
      <w:r>
        <w:rPr>
          <w:spacing w:val="-6"/>
        </w:rPr>
        <w:t> </w:t>
      </w:r>
      <w:r>
        <w:rPr/>
        <w:t>de</w:t>
      </w:r>
      <w:r>
        <w:rPr>
          <w:spacing w:val="-8"/>
        </w:rPr>
        <w:t> </w:t>
      </w:r>
      <w:r>
        <w:rPr/>
        <w:t>Desarrollo</w:t>
      </w:r>
      <w:r>
        <w:rPr>
          <w:spacing w:val="-8"/>
        </w:rPr>
        <w:t> </w:t>
      </w:r>
      <w:r>
        <w:rPr>
          <w:spacing w:val="-2"/>
        </w:rPr>
        <w:t>Humano</w:t>
      </w:r>
      <w:r>
        <w:rPr/>
        <w:tab/>
      </w:r>
      <w:r>
        <w:rPr>
          <w:position w:val="4"/>
          <w:sz w:val="22"/>
        </w:rPr>
        <w:t>75,00</w:t>
      </w:r>
      <w:r>
        <w:rPr>
          <w:spacing w:val="27"/>
          <w:position w:val="4"/>
          <w:sz w:val="22"/>
        </w:rPr>
        <w:t> </w:t>
      </w:r>
      <w:r>
        <w:rPr>
          <w:spacing w:val="-10"/>
          <w:position w:val="4"/>
          <w:sz w:val="22"/>
        </w:rPr>
        <w:t>%</w:t>
      </w:r>
    </w:p>
    <w:p>
      <w:pPr>
        <w:pStyle w:val="ListParagraph"/>
        <w:numPr>
          <w:ilvl w:val="0"/>
          <w:numId w:val="9"/>
        </w:numPr>
        <w:tabs>
          <w:tab w:pos="426" w:val="left" w:leader="none"/>
        </w:tabs>
        <w:spacing w:line="240" w:lineRule="auto" w:before="278" w:after="0"/>
        <w:ind w:left="426" w:right="0" w:hanging="179"/>
        <w:jc w:val="left"/>
        <w:rPr>
          <w:rFonts w:ascii="Times New Roman"/>
          <w:sz w:val="19"/>
        </w:rPr>
      </w:pPr>
      <w:r>
        <w:rPr>
          <w:rFonts w:ascii="Times New Roman"/>
          <w:sz w:val="19"/>
        </w:rPr>
        <w:drawing>
          <wp:anchor distT="0" distB="0" distL="0" distR="0" allowOverlap="1" layoutInCell="1" locked="0" behindDoc="0" simplePos="0" relativeHeight="15754752">
            <wp:simplePos x="0" y="0"/>
            <wp:positionH relativeFrom="page">
              <wp:posOffset>5261030</wp:posOffset>
            </wp:positionH>
            <wp:positionV relativeFrom="paragraph">
              <wp:posOffset>129937</wp:posOffset>
            </wp:positionV>
            <wp:extent cx="1934114" cy="276697"/>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57" cstate="print"/>
                    <a:stretch>
                      <a:fillRect/>
                    </a:stretch>
                  </pic:blipFill>
                  <pic:spPr>
                    <a:xfrm>
                      <a:off x="0" y="0"/>
                      <a:ext cx="1934114" cy="276697"/>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9"/>
        </w:numPr>
        <w:tabs>
          <w:tab w:pos="436" w:val="left" w:leader="none"/>
          <w:tab w:pos="3110" w:val="left" w:leader="none"/>
        </w:tabs>
        <w:spacing w:line="240" w:lineRule="auto" w:before="141" w:after="0"/>
        <w:ind w:left="436"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6"/>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cumplimiento</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7"/>
          <w:sz w:val="19"/>
        </w:rPr>
        <w:t> </w:t>
      </w:r>
      <w:r>
        <w:rPr>
          <w:rFonts w:ascii="Times New Roman"/>
          <w:sz w:val="19"/>
        </w:rPr>
        <w:t>del</w:t>
      </w:r>
      <w:r>
        <w:rPr>
          <w:rFonts w:ascii="Times New Roman"/>
          <w:spacing w:val="-6"/>
          <w:sz w:val="19"/>
        </w:rPr>
        <w:t> </w:t>
      </w:r>
      <w:r>
        <w:rPr>
          <w:rFonts w:ascii="Times New Roman"/>
          <w:spacing w:val="-4"/>
          <w:sz w:val="19"/>
        </w:rPr>
        <w:t>Eje.</w:t>
      </w:r>
    </w:p>
    <w:p>
      <w:pPr>
        <w:tabs>
          <w:tab w:pos="966" w:val="left" w:leader="none"/>
        </w:tabs>
        <w:spacing w:before="142"/>
        <w:ind w:left="247" w:right="0" w:firstLine="0"/>
        <w:jc w:val="left"/>
        <w:rPr>
          <w:rFonts w:ascii="Times New Roman" w:hAnsi="Times New Roman"/>
          <w:b/>
          <w:sz w:val="18"/>
        </w:rPr>
      </w:pPr>
      <w:r>
        <w:rPr>
          <w:rFonts w:ascii="Times New Roman" w:hAnsi="Times New Roman"/>
          <w:b/>
          <w:spacing w:val="-4"/>
          <w:sz w:val="18"/>
        </w:rPr>
        <w:t>IMAS</w:t>
      </w:r>
      <w:r>
        <w:rPr>
          <w:rFonts w:ascii="Times New Roman" w:hAnsi="Times New Roman"/>
          <w:b/>
          <w:sz w:val="18"/>
        </w:rPr>
        <w:tab/>
        <w:t>6:</w:t>
      </w:r>
      <w:r>
        <w:rPr>
          <w:rFonts w:ascii="Times New Roman" w:hAnsi="Times New Roman"/>
          <w:b/>
          <w:spacing w:val="-2"/>
          <w:sz w:val="18"/>
        </w:rPr>
        <w:t> </w:t>
      </w:r>
      <w:r>
        <w:rPr>
          <w:rFonts w:ascii="Times New Roman" w:hAnsi="Times New Roman"/>
          <w:b/>
          <w:sz w:val="18"/>
        </w:rPr>
        <w:t>Gestión</w:t>
      </w:r>
      <w:r>
        <w:rPr>
          <w:rFonts w:ascii="Times New Roman" w:hAnsi="Times New Roman"/>
          <w:b/>
          <w:spacing w:val="-1"/>
          <w:sz w:val="18"/>
        </w:rPr>
        <w:t> </w:t>
      </w:r>
      <w:r>
        <w:rPr>
          <w:rFonts w:ascii="Times New Roman" w:hAnsi="Times New Roman"/>
          <w:b/>
          <w:sz w:val="18"/>
        </w:rPr>
        <w:t>de</w:t>
      </w:r>
      <w:r>
        <w:rPr>
          <w:rFonts w:ascii="Times New Roman" w:hAnsi="Times New Roman"/>
          <w:b/>
          <w:spacing w:val="-2"/>
          <w:sz w:val="18"/>
        </w:rPr>
        <w:t> </w:t>
      </w:r>
      <w:r>
        <w:rPr>
          <w:rFonts w:ascii="Times New Roman" w:hAnsi="Times New Roman"/>
          <w:b/>
          <w:sz w:val="18"/>
        </w:rPr>
        <w:t>Desarrollo </w:t>
      </w:r>
      <w:r>
        <w:rPr>
          <w:rFonts w:ascii="Times New Roman" w:hAnsi="Times New Roman"/>
          <w:b/>
          <w:spacing w:val="-2"/>
          <w:sz w:val="18"/>
        </w:rPr>
        <w:t>Humano</w:t>
      </w:r>
    </w:p>
    <w:p>
      <w:pPr>
        <w:pStyle w:val="BodyText"/>
        <w:rPr>
          <w:rFonts w:ascii="Times New Roman"/>
          <w:b/>
          <w:sz w:val="20"/>
        </w:rPr>
      </w:pPr>
    </w:p>
    <w:tbl>
      <w:tblPr>
        <w:tblW w:w="0" w:type="auto"/>
        <w:jc w:val="left"/>
        <w:tblInd w:w="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77"/>
        <w:gridCol w:w="2997"/>
      </w:tblGrid>
      <w:tr>
        <w:trPr>
          <w:trHeight w:val="352" w:hRule="atLeast"/>
        </w:trPr>
        <w:tc>
          <w:tcPr>
            <w:tcW w:w="7477" w:type="dxa"/>
            <w:tcBorders>
              <w:bottom w:val="single" w:sz="6" w:space="0" w:color="000000"/>
            </w:tcBorders>
          </w:tcPr>
          <w:p>
            <w:pPr>
              <w:pStyle w:val="TableParagraph"/>
              <w:spacing w:line="199" w:lineRule="exact"/>
              <w:ind w:left="52"/>
              <w:rPr>
                <w:b/>
                <w:sz w:val="18"/>
              </w:rPr>
            </w:pPr>
            <w:r>
              <w:rPr>
                <w:b/>
                <w:sz w:val="18"/>
              </w:rPr>
              <w:t>Distribución</w:t>
            </w:r>
            <w:r>
              <w:rPr>
                <w:b/>
                <w:spacing w:val="-2"/>
                <w:sz w:val="18"/>
              </w:rPr>
              <w:t> </w:t>
            </w:r>
            <w:r>
              <w:rPr>
                <w:b/>
                <w:sz w:val="18"/>
              </w:rPr>
              <w:t>de</w:t>
            </w:r>
            <w:r>
              <w:rPr>
                <w:b/>
                <w:spacing w:val="-3"/>
                <w:sz w:val="18"/>
              </w:rPr>
              <w:t> </w:t>
            </w:r>
            <w:r>
              <w:rPr>
                <w:b/>
                <w:sz w:val="18"/>
              </w:rPr>
              <w:t>las</w:t>
            </w:r>
            <w:r>
              <w:rPr>
                <w:b/>
                <w:spacing w:val="-4"/>
                <w:sz w:val="18"/>
              </w:rPr>
              <w:t> </w:t>
            </w:r>
            <w:r>
              <w:rPr>
                <w:b/>
                <w:sz w:val="18"/>
              </w:rPr>
              <w:t>metas</w:t>
            </w:r>
            <w:r>
              <w:rPr>
                <w:b/>
                <w:spacing w:val="-2"/>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2"/>
                <w:sz w:val="18"/>
              </w:rPr>
              <w:t> </w:t>
            </w:r>
            <w:r>
              <w:rPr>
                <w:b/>
                <w:sz w:val="18"/>
              </w:rPr>
              <w:t>2028</w:t>
            </w:r>
            <w:r>
              <w:rPr>
                <w:b/>
                <w:spacing w:val="-1"/>
                <w:sz w:val="18"/>
              </w:rPr>
              <w:t> </w:t>
            </w:r>
            <w:r>
              <w:rPr>
                <w:b/>
                <w:sz w:val="18"/>
              </w:rPr>
              <w:t>según</w:t>
            </w:r>
            <w:r>
              <w:rPr>
                <w:b/>
                <w:spacing w:val="-2"/>
                <w:sz w:val="18"/>
              </w:rPr>
              <w:t> </w:t>
            </w:r>
            <w:r>
              <w:rPr>
                <w:b/>
                <w:sz w:val="18"/>
              </w:rPr>
              <w:t>categoría</w:t>
            </w:r>
            <w:r>
              <w:rPr>
                <w:b/>
                <w:spacing w:val="-2"/>
                <w:sz w:val="18"/>
              </w:rPr>
              <w:t> </w:t>
            </w:r>
            <w:r>
              <w:rPr>
                <w:b/>
                <w:sz w:val="18"/>
              </w:rPr>
              <w:t>de</w:t>
            </w:r>
            <w:r>
              <w:rPr>
                <w:b/>
                <w:spacing w:val="-2"/>
                <w:sz w:val="18"/>
              </w:rPr>
              <w:t> </w:t>
            </w:r>
            <w:r>
              <w:rPr>
                <w:b/>
                <w:sz w:val="18"/>
              </w:rPr>
              <w:t>cumplimiento,</w:t>
            </w:r>
            <w:r>
              <w:rPr>
                <w:b/>
                <w:spacing w:val="-3"/>
                <w:sz w:val="18"/>
              </w:rPr>
              <w:t> </w:t>
            </w:r>
            <w:r>
              <w:rPr>
                <w:b/>
                <w:sz w:val="18"/>
              </w:rPr>
              <w:t>al</w:t>
            </w:r>
            <w:r>
              <w:rPr>
                <w:b/>
                <w:spacing w:val="-1"/>
                <w:sz w:val="18"/>
              </w:rPr>
              <w:t> </w:t>
            </w:r>
            <w:r>
              <w:rPr>
                <w:b/>
                <w:sz w:val="18"/>
              </w:rPr>
              <w:t>año</w:t>
            </w:r>
            <w:r>
              <w:rPr>
                <w:b/>
                <w:spacing w:val="-2"/>
                <w:sz w:val="18"/>
              </w:rPr>
              <w:t> </w:t>
            </w:r>
            <w:r>
              <w:rPr>
                <w:b/>
                <w:spacing w:val="-4"/>
                <w:sz w:val="18"/>
              </w:rPr>
              <w:t>2024</w:t>
            </w:r>
          </w:p>
        </w:tc>
        <w:tc>
          <w:tcPr>
            <w:tcW w:w="2997" w:type="dxa"/>
            <w:tcBorders>
              <w:bottom w:val="single" w:sz="6" w:space="0" w:color="000000"/>
            </w:tcBorders>
          </w:tcPr>
          <w:p>
            <w:pPr>
              <w:pStyle w:val="TableParagraph"/>
              <w:rPr>
                <w:sz w:val="18"/>
              </w:rPr>
            </w:pPr>
          </w:p>
        </w:tc>
      </w:tr>
      <w:tr>
        <w:trPr>
          <w:trHeight w:val="330" w:hRule="atLeast"/>
        </w:trPr>
        <w:tc>
          <w:tcPr>
            <w:tcW w:w="7477" w:type="dxa"/>
            <w:tcBorders>
              <w:top w:val="single" w:sz="6" w:space="0" w:color="000000"/>
              <w:bottom w:val="single" w:sz="12" w:space="0" w:color="000000"/>
            </w:tcBorders>
          </w:tcPr>
          <w:p>
            <w:pPr>
              <w:pStyle w:val="TableParagraph"/>
              <w:ind w:left="52"/>
              <w:rPr>
                <w:b/>
                <w:sz w:val="22"/>
              </w:rPr>
            </w:pPr>
            <w:r>
              <w:rPr>
                <w:b/>
                <w:spacing w:val="-5"/>
                <w:sz w:val="22"/>
              </w:rPr>
              <w:t>Año</w:t>
            </w:r>
          </w:p>
        </w:tc>
        <w:tc>
          <w:tcPr>
            <w:tcW w:w="2997" w:type="dxa"/>
            <w:tcBorders>
              <w:top w:val="single" w:sz="6" w:space="0" w:color="000000"/>
              <w:bottom w:val="single" w:sz="12" w:space="0" w:color="000000"/>
            </w:tcBorders>
          </w:tcPr>
          <w:p>
            <w:pPr>
              <w:pStyle w:val="TableParagraph"/>
              <w:ind w:left="6" w:right="983"/>
              <w:jc w:val="center"/>
              <w:rPr>
                <w:b/>
                <w:sz w:val="22"/>
              </w:rPr>
            </w:pPr>
            <w:r>
              <w:rPr>
                <w:b/>
                <w:spacing w:val="-4"/>
                <w:sz w:val="22"/>
              </w:rPr>
              <w:t>2024</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ind w:left="52"/>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997" w:type="dxa"/>
            <w:tcBorders>
              <w:top w:val="single" w:sz="12" w:space="0" w:color="000000"/>
              <w:bottom w:val="single" w:sz="6" w:space="0" w:color="000000"/>
            </w:tcBorders>
            <w:shd w:val="clear" w:color="auto" w:fill="A0A0A0"/>
          </w:tcPr>
          <w:p>
            <w:pPr>
              <w:pStyle w:val="TableParagraph"/>
              <w:ind w:left="2" w:right="983"/>
              <w:jc w:val="center"/>
              <w:rPr>
                <w:b/>
                <w:sz w:val="22"/>
              </w:rPr>
            </w:pPr>
            <w:r>
              <w:rPr>
                <w:b/>
                <w:spacing w:val="-2"/>
                <w:sz w:val="22"/>
              </w:rPr>
              <w:t>Seguimiento</w:t>
            </w:r>
          </w:p>
        </w:tc>
      </w:tr>
      <w:tr>
        <w:trPr>
          <w:trHeight w:val="359" w:hRule="atLeast"/>
        </w:trPr>
        <w:tc>
          <w:tcPr>
            <w:tcW w:w="7477" w:type="dxa"/>
            <w:tcBorders>
              <w:top w:val="single" w:sz="6" w:space="0" w:color="000000"/>
              <w:bottom w:val="single" w:sz="6" w:space="0" w:color="000000"/>
            </w:tcBorders>
          </w:tcPr>
          <w:p>
            <w:pPr>
              <w:pStyle w:val="TableParagraph"/>
              <w:ind w:left="52"/>
              <w:rPr>
                <w:sz w:val="19"/>
              </w:rPr>
            </w:pPr>
            <w:r>
              <w:rPr>
                <w:sz w:val="19"/>
              </w:rPr>
              <w:t>Total,</w:t>
            </w:r>
            <w:r>
              <w:rPr>
                <w:spacing w:val="-5"/>
                <w:sz w:val="19"/>
              </w:rPr>
              <w:t> </w:t>
            </w:r>
            <w:r>
              <w:rPr>
                <w:sz w:val="19"/>
              </w:rPr>
              <w:t>de</w:t>
            </w:r>
            <w:r>
              <w:rPr>
                <w:spacing w:val="-6"/>
                <w:sz w:val="19"/>
              </w:rPr>
              <w:t> </w:t>
            </w:r>
            <w:r>
              <w:rPr>
                <w:sz w:val="19"/>
              </w:rPr>
              <w:t>metas</w:t>
            </w:r>
            <w:r>
              <w:rPr>
                <w:spacing w:val="-5"/>
                <w:sz w:val="19"/>
              </w:rPr>
              <w:t> </w:t>
            </w:r>
            <w:r>
              <w:rPr>
                <w:spacing w:val="-2"/>
                <w:sz w:val="19"/>
              </w:rPr>
              <w:t>activas</w:t>
            </w:r>
          </w:p>
        </w:tc>
        <w:tc>
          <w:tcPr>
            <w:tcW w:w="2997" w:type="dxa"/>
            <w:tcBorders>
              <w:top w:val="single" w:sz="6" w:space="0" w:color="000000"/>
              <w:bottom w:val="single" w:sz="6" w:space="0" w:color="000000"/>
            </w:tcBorders>
          </w:tcPr>
          <w:p>
            <w:pPr>
              <w:pStyle w:val="TableParagraph"/>
              <w:ind w:right="983"/>
              <w:jc w:val="center"/>
              <w:rPr>
                <w:sz w:val="19"/>
              </w:rPr>
            </w:pPr>
            <w:r>
              <w:rPr>
                <w:spacing w:val="-10"/>
                <w:sz w:val="19"/>
              </w:rPr>
              <w:t>1</w:t>
            </w:r>
          </w:p>
        </w:tc>
      </w:tr>
      <w:tr>
        <w:trPr>
          <w:trHeight w:val="330" w:hRule="atLeast"/>
        </w:trPr>
        <w:tc>
          <w:tcPr>
            <w:tcW w:w="7477" w:type="dxa"/>
            <w:tcBorders>
              <w:top w:val="single" w:sz="6" w:space="0" w:color="000000"/>
              <w:bottom w:val="single" w:sz="12" w:space="0" w:color="000000"/>
            </w:tcBorders>
            <w:shd w:val="clear" w:color="auto" w:fill="A0A0A0"/>
          </w:tcPr>
          <w:p>
            <w:pPr>
              <w:pStyle w:val="TableParagraph"/>
              <w:ind w:left="52"/>
              <w:rPr>
                <w:sz w:val="19"/>
              </w:rPr>
            </w:pPr>
            <w:r>
              <w:rPr>
                <w:sz w:val="19"/>
              </w:rPr>
              <w:t>Total,</w:t>
            </w:r>
            <w:r>
              <w:rPr>
                <w:spacing w:val="-5"/>
                <w:sz w:val="19"/>
              </w:rPr>
              <w:t> </w:t>
            </w:r>
            <w:r>
              <w:rPr>
                <w:sz w:val="19"/>
              </w:rPr>
              <w:t>metas</w:t>
            </w:r>
            <w:r>
              <w:rPr>
                <w:spacing w:val="-6"/>
                <w:sz w:val="19"/>
              </w:rPr>
              <w:t> </w:t>
            </w:r>
            <w:r>
              <w:rPr>
                <w:sz w:val="19"/>
              </w:rPr>
              <w:t>activas</w:t>
            </w:r>
            <w:r>
              <w:rPr>
                <w:spacing w:val="-6"/>
                <w:sz w:val="19"/>
              </w:rPr>
              <w:t> </w:t>
            </w:r>
            <w:r>
              <w:rPr>
                <w:sz w:val="19"/>
              </w:rPr>
              <w:t>según</w:t>
            </w:r>
            <w:r>
              <w:rPr>
                <w:spacing w:val="-5"/>
                <w:sz w:val="19"/>
              </w:rPr>
              <w:t> </w:t>
            </w:r>
            <w:r>
              <w:rPr>
                <w:sz w:val="19"/>
              </w:rPr>
              <w:t>lo</w:t>
            </w:r>
            <w:r>
              <w:rPr>
                <w:spacing w:val="-7"/>
                <w:sz w:val="19"/>
              </w:rPr>
              <w:t> </w:t>
            </w:r>
            <w:r>
              <w:rPr>
                <w:spacing w:val="-2"/>
                <w:sz w:val="19"/>
              </w:rPr>
              <w:t>programado</w:t>
            </w:r>
          </w:p>
        </w:tc>
        <w:tc>
          <w:tcPr>
            <w:tcW w:w="2997" w:type="dxa"/>
            <w:tcBorders>
              <w:top w:val="single" w:sz="6" w:space="0" w:color="000000"/>
              <w:bottom w:val="single" w:sz="12" w:space="0" w:color="000000"/>
            </w:tcBorders>
            <w:shd w:val="clear" w:color="auto" w:fill="A0A0A0"/>
          </w:tcPr>
          <w:p>
            <w:pPr>
              <w:pStyle w:val="TableParagraph"/>
              <w:ind w:right="983"/>
              <w:jc w:val="center"/>
              <w:rPr>
                <w:sz w:val="19"/>
              </w:rPr>
            </w:pPr>
            <w:r>
              <w:rPr>
                <w:spacing w:val="-10"/>
                <w:sz w:val="19"/>
              </w:rPr>
              <w:t>1</w:t>
            </w:r>
          </w:p>
        </w:tc>
      </w:tr>
      <w:tr>
        <w:trPr>
          <w:trHeight w:val="330" w:hRule="atLeast"/>
        </w:trPr>
        <w:tc>
          <w:tcPr>
            <w:tcW w:w="7477" w:type="dxa"/>
            <w:tcBorders>
              <w:top w:val="single" w:sz="12" w:space="0" w:color="000000"/>
              <w:bottom w:val="single" w:sz="12" w:space="0" w:color="000000"/>
            </w:tcBorders>
          </w:tcPr>
          <w:p>
            <w:pPr>
              <w:pStyle w:val="TableParagraph"/>
              <w:spacing w:line="218" w:lineRule="exact"/>
              <w:ind w:left="52"/>
              <w:rPr>
                <w:sz w:val="19"/>
              </w:rPr>
            </w:pPr>
            <w:r>
              <w:rPr>
                <w:sz w:val="19"/>
              </w:rPr>
              <w:t>Total,</w:t>
            </w:r>
            <w:r>
              <w:rPr>
                <w:spacing w:val="-5"/>
                <w:sz w:val="19"/>
              </w:rPr>
              <w:t> </w:t>
            </w:r>
            <w:r>
              <w:rPr>
                <w:sz w:val="19"/>
              </w:rPr>
              <w:t>metas</w:t>
            </w:r>
            <w:r>
              <w:rPr>
                <w:spacing w:val="-5"/>
                <w:sz w:val="19"/>
              </w:rPr>
              <w:t> </w:t>
            </w:r>
            <w:r>
              <w:rPr>
                <w:sz w:val="19"/>
              </w:rPr>
              <w:t>activas</w:t>
            </w:r>
            <w:r>
              <w:rPr>
                <w:spacing w:val="-6"/>
                <w:sz w:val="19"/>
              </w:rPr>
              <w:t> </w:t>
            </w:r>
            <w:r>
              <w:rPr>
                <w:sz w:val="19"/>
              </w:rPr>
              <w:t>con</w:t>
            </w:r>
            <w:r>
              <w:rPr>
                <w:spacing w:val="-4"/>
                <w:sz w:val="19"/>
              </w:rPr>
              <w:t> </w:t>
            </w:r>
            <w:r>
              <w:rPr>
                <w:sz w:val="19"/>
              </w:rPr>
              <w:t>riesgo</w:t>
            </w:r>
            <w:r>
              <w:rPr>
                <w:spacing w:val="-6"/>
                <w:sz w:val="19"/>
              </w:rPr>
              <w:t> </w:t>
            </w:r>
            <w:r>
              <w:rPr>
                <w:sz w:val="19"/>
              </w:rPr>
              <w:t>de</w:t>
            </w:r>
            <w:r>
              <w:rPr>
                <w:spacing w:val="-3"/>
                <w:sz w:val="19"/>
              </w:rPr>
              <w:t> </w:t>
            </w:r>
            <w:r>
              <w:rPr>
                <w:spacing w:val="-2"/>
                <w:sz w:val="19"/>
              </w:rPr>
              <w:t>incumplimiento</w:t>
            </w:r>
          </w:p>
        </w:tc>
        <w:tc>
          <w:tcPr>
            <w:tcW w:w="2997" w:type="dxa"/>
            <w:tcBorders>
              <w:top w:val="single" w:sz="12" w:space="0" w:color="000000"/>
              <w:bottom w:val="single" w:sz="12" w:space="0" w:color="000000"/>
            </w:tcBorders>
          </w:tcPr>
          <w:p>
            <w:pPr>
              <w:pStyle w:val="TableParagraph"/>
              <w:spacing w:line="218" w:lineRule="exact"/>
              <w:ind w:right="983"/>
              <w:jc w:val="center"/>
              <w:rPr>
                <w:sz w:val="19"/>
              </w:rPr>
            </w:pPr>
            <w:r>
              <w:rPr>
                <w:spacing w:val="-10"/>
                <w:sz w:val="19"/>
              </w:rPr>
              <w:t>0</w:t>
            </w:r>
          </w:p>
        </w:tc>
      </w:tr>
      <w:tr>
        <w:trPr>
          <w:trHeight w:val="330" w:hRule="atLeast"/>
        </w:trPr>
        <w:tc>
          <w:tcPr>
            <w:tcW w:w="7477" w:type="dxa"/>
            <w:tcBorders>
              <w:top w:val="single" w:sz="12" w:space="0" w:color="000000"/>
              <w:bottom w:val="single" w:sz="6" w:space="0" w:color="000000"/>
            </w:tcBorders>
            <w:shd w:val="clear" w:color="auto" w:fill="A0A0A0"/>
          </w:tcPr>
          <w:p>
            <w:pPr>
              <w:pStyle w:val="TableParagraph"/>
              <w:spacing w:line="218" w:lineRule="exact"/>
              <w:ind w:left="52"/>
              <w:rPr>
                <w:sz w:val="19"/>
              </w:rPr>
            </w:pPr>
            <w:r>
              <w:rPr>
                <w:sz w:val="19"/>
              </w:rPr>
              <w:t>Total,</w:t>
            </w:r>
            <w:r>
              <w:rPr>
                <w:spacing w:val="-6"/>
                <w:sz w:val="19"/>
              </w:rPr>
              <w:t> </w:t>
            </w:r>
            <w:r>
              <w:rPr>
                <w:sz w:val="19"/>
              </w:rPr>
              <w:t>metas</w:t>
            </w:r>
            <w:r>
              <w:rPr>
                <w:spacing w:val="-6"/>
                <w:sz w:val="19"/>
              </w:rPr>
              <w:t> </w:t>
            </w:r>
            <w:r>
              <w:rPr>
                <w:sz w:val="19"/>
              </w:rPr>
              <w:t>activas</w:t>
            </w:r>
            <w:r>
              <w:rPr>
                <w:spacing w:val="-6"/>
                <w:sz w:val="19"/>
              </w:rPr>
              <w:t> </w:t>
            </w:r>
            <w:r>
              <w:rPr>
                <w:sz w:val="19"/>
              </w:rPr>
              <w:t>con</w:t>
            </w:r>
            <w:r>
              <w:rPr>
                <w:spacing w:val="-5"/>
                <w:sz w:val="19"/>
              </w:rPr>
              <w:t> </w:t>
            </w:r>
            <w:r>
              <w:rPr>
                <w:sz w:val="19"/>
              </w:rPr>
              <w:t>avance</w:t>
            </w:r>
            <w:r>
              <w:rPr>
                <w:spacing w:val="-6"/>
                <w:sz w:val="19"/>
              </w:rPr>
              <w:t> </w:t>
            </w:r>
            <w:r>
              <w:rPr>
                <w:spacing w:val="-2"/>
                <w:sz w:val="19"/>
              </w:rPr>
              <w:t>crítico</w:t>
            </w:r>
          </w:p>
        </w:tc>
        <w:tc>
          <w:tcPr>
            <w:tcW w:w="2997" w:type="dxa"/>
            <w:tcBorders>
              <w:top w:val="single" w:sz="12" w:space="0" w:color="000000"/>
              <w:bottom w:val="single" w:sz="6" w:space="0" w:color="000000"/>
            </w:tcBorders>
            <w:shd w:val="clear" w:color="auto" w:fill="A0A0A0"/>
          </w:tcPr>
          <w:p>
            <w:pPr>
              <w:pStyle w:val="TableParagraph"/>
              <w:spacing w:line="218" w:lineRule="exact"/>
              <w:ind w:right="983"/>
              <w:jc w:val="center"/>
              <w:rPr>
                <w:sz w:val="19"/>
              </w:rPr>
            </w:pPr>
            <w:r>
              <w:rPr>
                <w:spacing w:val="-10"/>
                <w:sz w:val="19"/>
              </w:rPr>
              <w:t>0</w:t>
            </w:r>
          </w:p>
        </w:tc>
      </w:tr>
      <w:tr>
        <w:trPr>
          <w:trHeight w:val="206" w:hRule="atLeast"/>
        </w:trPr>
        <w:tc>
          <w:tcPr>
            <w:tcW w:w="7477" w:type="dxa"/>
            <w:tcBorders>
              <w:top w:val="single" w:sz="6" w:space="0" w:color="000000"/>
            </w:tcBorders>
          </w:tcPr>
          <w:p>
            <w:pPr>
              <w:pStyle w:val="TableParagraph"/>
              <w:tabs>
                <w:tab w:pos="1550" w:val="left" w:leader="none"/>
              </w:tabs>
              <w:spacing w:line="187" w:lineRule="exact"/>
              <w:ind w:left="52"/>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997" w:type="dxa"/>
            <w:tcBorders>
              <w:top w:val="single" w:sz="6" w:space="0" w:color="000000"/>
            </w:tcBorders>
          </w:tcPr>
          <w:p>
            <w:pPr>
              <w:pStyle w:val="TableParagraph"/>
              <w:rPr>
                <w:sz w:val="14"/>
              </w:rPr>
            </w:pPr>
          </w:p>
        </w:tc>
      </w:tr>
    </w:tbl>
    <w:p>
      <w:pPr>
        <w:pStyle w:val="BodyText"/>
        <w:rPr>
          <w:rFonts w:ascii="Times New Roman"/>
          <w:b/>
          <w:sz w:val="20"/>
        </w:rPr>
      </w:pPr>
    </w:p>
    <w:p>
      <w:pPr>
        <w:pStyle w:val="BodyText"/>
        <w:spacing w:before="221"/>
        <w:rPr>
          <w:rFonts w:ascii="Times New Roman"/>
          <w:b/>
          <w:sz w:val="20"/>
        </w:rPr>
      </w:pPr>
      <w:r>
        <w:rPr>
          <w:rFonts w:ascii="Times New Roman"/>
          <w:b/>
          <w:sz w:val="20"/>
        </w:rPr>
        <mc:AlternateContent>
          <mc:Choice Requires="wps">
            <w:drawing>
              <wp:anchor distT="0" distB="0" distL="0" distR="0" allowOverlap="1" layoutInCell="1" locked="0" behindDoc="1" simplePos="0" relativeHeight="487613440">
                <wp:simplePos x="0" y="0"/>
                <wp:positionH relativeFrom="page">
                  <wp:posOffset>1106728</wp:posOffset>
                </wp:positionH>
                <wp:positionV relativeFrom="paragraph">
                  <wp:posOffset>301612</wp:posOffset>
                </wp:positionV>
                <wp:extent cx="6210300" cy="1562735"/>
                <wp:effectExtent l="0" t="0" r="0" b="0"/>
                <wp:wrapTopAndBottom/>
                <wp:docPr id="100" name="Graphic 100"/>
                <wp:cNvGraphicFramePr>
                  <a:graphicFrameLocks/>
                </wp:cNvGraphicFramePr>
                <a:graphic>
                  <a:graphicData uri="http://schemas.microsoft.com/office/word/2010/wordprocessingShape">
                    <wps:wsp>
                      <wps:cNvPr id="100" name="Graphic 100"/>
                      <wps:cNvSpPr/>
                      <wps:spPr>
                        <a:xfrm>
                          <a:off x="0" y="0"/>
                          <a:ext cx="6210300" cy="1562735"/>
                        </a:xfrm>
                        <a:custGeom>
                          <a:avLst/>
                          <a:gdLst/>
                          <a:ahLst/>
                          <a:cxnLst/>
                          <a:rect l="l" t="t" r="r" b="b"/>
                          <a:pathLst>
                            <a:path w="6210300" h="1562735">
                              <a:moveTo>
                                <a:pt x="6200521" y="0"/>
                              </a:moveTo>
                              <a:lnTo>
                                <a:pt x="9144" y="0"/>
                              </a:lnTo>
                              <a:lnTo>
                                <a:pt x="0" y="0"/>
                              </a:lnTo>
                              <a:lnTo>
                                <a:pt x="0" y="9144"/>
                              </a:lnTo>
                              <a:lnTo>
                                <a:pt x="0" y="1553210"/>
                              </a:lnTo>
                              <a:lnTo>
                                <a:pt x="0" y="1562354"/>
                              </a:lnTo>
                              <a:lnTo>
                                <a:pt x="9144" y="1562354"/>
                              </a:lnTo>
                              <a:lnTo>
                                <a:pt x="6200521" y="1562354"/>
                              </a:lnTo>
                              <a:lnTo>
                                <a:pt x="6200521" y="1553210"/>
                              </a:lnTo>
                              <a:lnTo>
                                <a:pt x="9144" y="1553210"/>
                              </a:lnTo>
                              <a:lnTo>
                                <a:pt x="9144" y="9144"/>
                              </a:lnTo>
                              <a:lnTo>
                                <a:pt x="6200521" y="9144"/>
                              </a:lnTo>
                              <a:lnTo>
                                <a:pt x="6200521" y="0"/>
                              </a:lnTo>
                              <a:close/>
                            </a:path>
                            <a:path w="6210300" h="1562735">
                              <a:moveTo>
                                <a:pt x="6209741" y="0"/>
                              </a:moveTo>
                              <a:lnTo>
                                <a:pt x="6200597" y="0"/>
                              </a:lnTo>
                              <a:lnTo>
                                <a:pt x="6200597" y="9144"/>
                              </a:lnTo>
                              <a:lnTo>
                                <a:pt x="6200597" y="1553210"/>
                              </a:lnTo>
                              <a:lnTo>
                                <a:pt x="6200597" y="1562354"/>
                              </a:lnTo>
                              <a:lnTo>
                                <a:pt x="6209741" y="1562354"/>
                              </a:lnTo>
                              <a:lnTo>
                                <a:pt x="6209741" y="1553210"/>
                              </a:lnTo>
                              <a:lnTo>
                                <a:pt x="6209741" y="9144"/>
                              </a:lnTo>
                              <a:lnTo>
                                <a:pt x="6209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87.144005pt;margin-top:23.748999pt;width:489pt;height:123.05pt;mso-position-horizontal-relative:page;mso-position-vertical-relative:paragraph;z-index:-15703040;mso-wrap-distance-left:0;mso-wrap-distance-right:0" id="docshape52" coordorigin="1743,475" coordsize="9780,2461" path="m11507,475l1757,475,1743,475,1743,489,1743,2921,1743,2935,1757,2935,11507,2935,11507,2921,1757,2921,1757,489,11507,489,11507,475xm11522,475l11508,475,11508,489,11508,2921,11508,2935,11522,2935,11522,2921,11522,489,11522,475xe" filled="true" fillcolor="#000000" stroked="false">
                <v:path arrowok="t"/>
                <v:fill type="solid"/>
                <w10:wrap type="topAndBottom"/>
              </v:shape>
            </w:pict>
          </mc:Fallback>
        </mc:AlternateContent>
      </w:r>
    </w:p>
    <w:p>
      <w:pPr>
        <w:pStyle w:val="BodyText"/>
        <w:spacing w:after="0"/>
        <w:rPr>
          <w:rFonts w:ascii="Times New Roman"/>
          <w:b/>
          <w:sz w:val="20"/>
        </w:rPr>
        <w:sectPr>
          <w:pgSz w:w="13370" w:h="17280"/>
          <w:pgMar w:header="507" w:footer="969" w:top="1340" w:bottom="1160" w:left="1275" w:right="992"/>
        </w:sectPr>
      </w:pPr>
    </w:p>
    <w:p>
      <w:pPr>
        <w:pStyle w:val="Heading1"/>
        <w:numPr>
          <w:ilvl w:val="0"/>
          <w:numId w:val="2"/>
        </w:numPr>
        <w:tabs>
          <w:tab w:pos="495" w:val="left" w:leader="none"/>
        </w:tabs>
        <w:spacing w:line="240" w:lineRule="auto" w:before="69" w:after="0"/>
        <w:ind w:left="165" w:right="1432" w:firstLine="0"/>
        <w:jc w:val="left"/>
        <w:rPr>
          <w:sz w:val="42"/>
        </w:rPr>
      </w:pPr>
      <w:r>
        <w:rPr>
          <w:sz w:val="42"/>
        </w:rPr>
        <w:drawing>
          <wp:anchor distT="0" distB="0" distL="0" distR="0" allowOverlap="1" layoutInCell="1" locked="0" behindDoc="1" simplePos="0" relativeHeight="487614976">
            <wp:simplePos x="0" y="0"/>
            <wp:positionH relativeFrom="page">
              <wp:posOffset>914400</wp:posOffset>
            </wp:positionH>
            <wp:positionV relativeFrom="paragraph">
              <wp:posOffset>719455</wp:posOffset>
            </wp:positionV>
            <wp:extent cx="6395587" cy="111918"/>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11" cstate="print"/>
                    <a:stretch>
                      <a:fillRect/>
                    </a:stretch>
                  </pic:blipFill>
                  <pic:spPr>
                    <a:xfrm>
                      <a:off x="0" y="0"/>
                      <a:ext cx="6395587" cy="111918"/>
                    </a:xfrm>
                    <a:prstGeom prst="rect">
                      <a:avLst/>
                    </a:prstGeom>
                  </pic:spPr>
                </pic:pic>
              </a:graphicData>
            </a:graphic>
          </wp:anchor>
        </w:drawing>
      </w:r>
      <w:bookmarkStart w:name="_TOC_250001" w:id="4"/>
      <w:r>
        <w:rPr/>
        <w:t>Análisis</w:t>
      </w:r>
      <w:r>
        <w:rPr>
          <w:spacing w:val="-5"/>
        </w:rPr>
        <w:t> </w:t>
      </w:r>
      <w:r>
        <w:rPr/>
        <w:t>del</w:t>
      </w:r>
      <w:r>
        <w:rPr>
          <w:spacing w:val="-2"/>
        </w:rPr>
        <w:t> </w:t>
      </w:r>
      <w:r>
        <w:rPr/>
        <w:t>avance</w:t>
      </w:r>
      <w:r>
        <w:rPr>
          <w:spacing w:val="-5"/>
        </w:rPr>
        <w:t> </w:t>
      </w:r>
      <w:r>
        <w:rPr/>
        <w:t>al</w:t>
      </w:r>
      <w:r>
        <w:rPr>
          <w:spacing w:val="-4"/>
        </w:rPr>
        <w:t> </w:t>
      </w:r>
      <w:r>
        <w:rPr/>
        <w:t>I</w:t>
      </w:r>
      <w:r>
        <w:rPr>
          <w:spacing w:val="-7"/>
        </w:rPr>
        <w:t> </w:t>
      </w:r>
      <w:r>
        <w:rPr/>
        <w:t>semestre-</w:t>
      </w:r>
      <w:r>
        <w:rPr>
          <w:spacing w:val="-4"/>
        </w:rPr>
        <w:t> </w:t>
      </w:r>
      <w:r>
        <w:rPr/>
        <w:t>PEI</w:t>
      </w:r>
      <w:r>
        <w:rPr>
          <w:spacing w:val="-5"/>
        </w:rPr>
        <w:t> </w:t>
      </w:r>
      <w:bookmarkEnd w:id="4"/>
      <w:r>
        <w:rPr/>
        <w:t>2023-2028, según Eje Estratégico.</w:t>
      </w:r>
    </w:p>
    <w:p>
      <w:pPr>
        <w:pStyle w:val="BodyText"/>
        <w:spacing w:before="117"/>
        <w:rPr>
          <w:rFonts w:ascii="Times New Roman"/>
          <w:b/>
          <w:sz w:val="44"/>
        </w:rPr>
      </w:pPr>
    </w:p>
    <w:p>
      <w:pPr>
        <w:pStyle w:val="BodyText"/>
        <w:ind w:left="165" w:right="385"/>
        <w:jc w:val="both"/>
      </w:pPr>
      <w:r>
        <w:rPr/>
        <w:t>En el seguimiento del PEI 2023-2028 al corte I semestre 2024 (30 de junio), se extrae del avance de los registrados ingresados en la herramienta DELPHOS, para el ejercicio de seguimiento del POI-POGE 2024 del II trimestre, como se mencionó en el capítulo de “Metodología”.</w:t>
      </w:r>
    </w:p>
    <w:p>
      <w:pPr>
        <w:pStyle w:val="BodyText"/>
      </w:pPr>
    </w:p>
    <w:p>
      <w:pPr>
        <w:pStyle w:val="BodyText"/>
        <w:ind w:left="165" w:right="385"/>
        <w:jc w:val="both"/>
      </w:pPr>
      <w:r>
        <w:rPr/>
        <w:t>Para dicho ejercicio, el PEI 2023-2028, se ubica en una categoría “según lo programado”, ya que obtuvo un avance de un 54.20%, de los resultados activos para este periodo de estudio, que suman en total 76 resultados, distribuidos en los 6 Ejes Estratégicos, como se muestra en el siguiente gráfico:</w:t>
      </w:r>
    </w:p>
    <w:p>
      <w:pPr>
        <w:pStyle w:val="BodyText"/>
      </w:pPr>
    </w:p>
    <w:p>
      <w:pPr>
        <w:pStyle w:val="BodyText"/>
        <w:spacing w:before="1"/>
      </w:pPr>
    </w:p>
    <w:p>
      <w:pPr>
        <w:spacing w:line="252" w:lineRule="exact" w:before="0"/>
        <w:ind w:left="218" w:right="437" w:firstLine="0"/>
        <w:jc w:val="center"/>
        <w:rPr>
          <w:b/>
          <w:sz w:val="22"/>
        </w:rPr>
      </w:pPr>
      <w:r>
        <w:rPr>
          <w:b/>
          <w:sz w:val="22"/>
        </w:rPr>
        <w:t>Gráfico</w:t>
      </w:r>
      <w:r>
        <w:rPr>
          <w:b/>
          <w:spacing w:val="-5"/>
          <w:sz w:val="22"/>
        </w:rPr>
        <w:t> </w:t>
      </w:r>
      <w:r>
        <w:rPr>
          <w:b/>
          <w:sz w:val="22"/>
        </w:rPr>
        <w:t>#</w:t>
      </w:r>
      <w:r>
        <w:rPr>
          <w:b/>
          <w:spacing w:val="-2"/>
          <w:sz w:val="22"/>
        </w:rPr>
        <w:t> </w:t>
      </w:r>
      <w:r>
        <w:rPr>
          <w:b/>
          <w:spacing w:val="-10"/>
          <w:sz w:val="22"/>
        </w:rPr>
        <w:t>1</w:t>
      </w:r>
    </w:p>
    <w:p>
      <w:pPr>
        <w:spacing w:line="252" w:lineRule="exact" w:before="0"/>
        <w:ind w:left="216" w:right="437" w:firstLine="0"/>
        <w:jc w:val="center"/>
        <w:rPr>
          <w:b/>
          <w:sz w:val="22"/>
        </w:rPr>
      </w:pPr>
      <w:r>
        <w:rPr>
          <w:b/>
          <w:sz w:val="22"/>
        </w:rPr>
        <w:t>Distribución</w:t>
      </w:r>
      <w:r>
        <w:rPr>
          <w:b/>
          <w:spacing w:val="-7"/>
          <w:sz w:val="22"/>
        </w:rPr>
        <w:t> </w:t>
      </w:r>
      <w:r>
        <w:rPr>
          <w:b/>
          <w:sz w:val="22"/>
        </w:rPr>
        <w:t>de</w:t>
      </w:r>
      <w:r>
        <w:rPr>
          <w:b/>
          <w:spacing w:val="-7"/>
          <w:sz w:val="22"/>
        </w:rPr>
        <w:t> </w:t>
      </w:r>
      <w:r>
        <w:rPr>
          <w:b/>
          <w:sz w:val="22"/>
        </w:rPr>
        <w:t>resultados</w:t>
      </w:r>
      <w:r>
        <w:rPr>
          <w:b/>
          <w:spacing w:val="-3"/>
          <w:sz w:val="22"/>
        </w:rPr>
        <w:t> </w:t>
      </w:r>
      <w:r>
        <w:rPr>
          <w:b/>
          <w:sz w:val="22"/>
        </w:rPr>
        <w:t>con</w:t>
      </w:r>
      <w:r>
        <w:rPr>
          <w:b/>
          <w:spacing w:val="-5"/>
          <w:sz w:val="22"/>
        </w:rPr>
        <w:t> </w:t>
      </w:r>
      <w:r>
        <w:rPr>
          <w:b/>
          <w:sz w:val="22"/>
        </w:rPr>
        <w:t>activos</w:t>
      </w:r>
      <w:r>
        <w:rPr>
          <w:b/>
          <w:spacing w:val="-7"/>
          <w:sz w:val="22"/>
        </w:rPr>
        <w:t> </w:t>
      </w:r>
      <w:r>
        <w:rPr>
          <w:b/>
          <w:sz w:val="22"/>
        </w:rPr>
        <w:t>del</w:t>
      </w:r>
      <w:r>
        <w:rPr>
          <w:b/>
          <w:spacing w:val="-5"/>
          <w:sz w:val="22"/>
        </w:rPr>
        <w:t> </w:t>
      </w:r>
      <w:r>
        <w:rPr>
          <w:b/>
          <w:sz w:val="22"/>
        </w:rPr>
        <w:t>PEI</w:t>
      </w:r>
      <w:r>
        <w:rPr>
          <w:b/>
          <w:spacing w:val="-3"/>
          <w:sz w:val="22"/>
        </w:rPr>
        <w:t> </w:t>
      </w:r>
      <w:r>
        <w:rPr>
          <w:b/>
          <w:sz w:val="22"/>
        </w:rPr>
        <w:t>2023-2028</w:t>
      </w:r>
      <w:r>
        <w:rPr>
          <w:b/>
          <w:spacing w:val="-5"/>
          <w:sz w:val="22"/>
        </w:rPr>
        <w:t> </w:t>
      </w:r>
      <w:r>
        <w:rPr>
          <w:b/>
          <w:sz w:val="22"/>
        </w:rPr>
        <w:t>por</w:t>
      </w:r>
      <w:r>
        <w:rPr>
          <w:b/>
          <w:spacing w:val="-4"/>
          <w:sz w:val="22"/>
        </w:rPr>
        <w:t> </w:t>
      </w:r>
      <w:r>
        <w:rPr>
          <w:b/>
          <w:sz w:val="22"/>
        </w:rPr>
        <w:t>Ejes</w:t>
      </w:r>
      <w:r>
        <w:rPr>
          <w:b/>
          <w:spacing w:val="-6"/>
          <w:sz w:val="22"/>
        </w:rPr>
        <w:t> </w:t>
      </w:r>
      <w:r>
        <w:rPr>
          <w:b/>
          <w:sz w:val="22"/>
        </w:rPr>
        <w:t>Estratégicos,</w:t>
      </w:r>
      <w:r>
        <w:rPr>
          <w:b/>
          <w:spacing w:val="-6"/>
          <w:sz w:val="22"/>
        </w:rPr>
        <w:t> </w:t>
      </w:r>
      <w:r>
        <w:rPr>
          <w:b/>
          <w:sz w:val="22"/>
        </w:rPr>
        <w:t>I</w:t>
      </w:r>
      <w:r>
        <w:rPr>
          <w:b/>
          <w:spacing w:val="-4"/>
          <w:sz w:val="22"/>
        </w:rPr>
        <w:t> </w:t>
      </w:r>
      <w:r>
        <w:rPr>
          <w:b/>
          <w:sz w:val="22"/>
        </w:rPr>
        <w:t>semestre</w:t>
      </w:r>
      <w:r>
        <w:rPr>
          <w:b/>
          <w:spacing w:val="-6"/>
          <w:sz w:val="22"/>
        </w:rPr>
        <w:t> </w:t>
      </w:r>
      <w:r>
        <w:rPr>
          <w:b/>
          <w:spacing w:val="-2"/>
          <w:sz w:val="22"/>
        </w:rPr>
        <w:t>2024.</w:t>
      </w:r>
    </w:p>
    <w:p>
      <w:pPr>
        <w:pStyle w:val="BodyText"/>
        <w:rPr>
          <w:b/>
          <w:sz w:val="20"/>
        </w:rPr>
      </w:pPr>
    </w:p>
    <w:p>
      <w:pPr>
        <w:pStyle w:val="BodyText"/>
        <w:spacing w:before="68"/>
        <w:rPr>
          <w:b/>
          <w:sz w:val="20"/>
        </w:rPr>
      </w:pPr>
      <w:r>
        <w:rPr>
          <w:b/>
          <w:sz w:val="20"/>
        </w:rPr>
        <w:drawing>
          <wp:anchor distT="0" distB="0" distL="0" distR="0" allowOverlap="1" layoutInCell="1" locked="0" behindDoc="1" simplePos="0" relativeHeight="487615488">
            <wp:simplePos x="0" y="0"/>
            <wp:positionH relativeFrom="page">
              <wp:posOffset>1969135</wp:posOffset>
            </wp:positionH>
            <wp:positionV relativeFrom="paragraph">
              <wp:posOffset>204512</wp:posOffset>
            </wp:positionV>
            <wp:extent cx="4584065" cy="2956560"/>
            <wp:effectExtent l="0" t="0" r="0" b="0"/>
            <wp:wrapTopAndBottom/>
            <wp:docPr id="103" name="Image 103"/>
            <wp:cNvGraphicFramePr>
              <a:graphicFrameLocks/>
            </wp:cNvGraphicFramePr>
            <a:graphic>
              <a:graphicData uri="http://schemas.openxmlformats.org/drawingml/2006/picture">
                <pic:pic>
                  <pic:nvPicPr>
                    <pic:cNvPr id="103" name="Image 103"/>
                    <pic:cNvPicPr/>
                  </pic:nvPicPr>
                  <pic:blipFill>
                    <a:blip r:embed="rId60" cstate="print"/>
                    <a:stretch>
                      <a:fillRect/>
                    </a:stretch>
                  </pic:blipFill>
                  <pic:spPr>
                    <a:xfrm>
                      <a:off x="0" y="0"/>
                      <a:ext cx="4584065" cy="2956560"/>
                    </a:xfrm>
                    <a:prstGeom prst="rect">
                      <a:avLst/>
                    </a:prstGeom>
                  </pic:spPr>
                </pic:pic>
              </a:graphicData>
            </a:graphic>
          </wp:anchor>
        </w:drawing>
      </w:r>
    </w:p>
    <w:p>
      <w:pPr>
        <w:pStyle w:val="BodyText"/>
        <w:spacing w:before="70"/>
        <w:rPr>
          <w:b/>
          <w:sz w:val="18"/>
        </w:rPr>
      </w:pPr>
    </w:p>
    <w:p>
      <w:pPr>
        <w:spacing w:before="0"/>
        <w:ind w:left="215" w:right="437" w:firstLine="0"/>
        <w:jc w:val="center"/>
        <w:rPr>
          <w:sz w:val="18"/>
        </w:rPr>
      </w:pPr>
      <w:r>
        <w:rPr>
          <w:sz w:val="18"/>
        </w:rPr>
        <w:t>Fuente</w:t>
      </w:r>
      <w:r>
        <w:rPr>
          <w:spacing w:val="-6"/>
          <w:sz w:val="18"/>
        </w:rPr>
        <w:t> </w:t>
      </w:r>
      <w:r>
        <w:rPr>
          <w:sz w:val="18"/>
        </w:rPr>
        <w:t>Herramienta</w:t>
      </w:r>
      <w:r>
        <w:rPr>
          <w:spacing w:val="-4"/>
          <w:sz w:val="18"/>
        </w:rPr>
        <w:t> </w:t>
      </w:r>
      <w:r>
        <w:rPr>
          <w:sz w:val="18"/>
        </w:rPr>
        <w:t>DELPHOS,</w:t>
      </w:r>
      <w:r>
        <w:rPr>
          <w:spacing w:val="-3"/>
          <w:sz w:val="18"/>
        </w:rPr>
        <w:t> </w:t>
      </w:r>
      <w:r>
        <w:rPr>
          <w:sz w:val="18"/>
        </w:rPr>
        <w:t>I</w:t>
      </w:r>
      <w:r>
        <w:rPr>
          <w:spacing w:val="-4"/>
          <w:sz w:val="18"/>
        </w:rPr>
        <w:t> </w:t>
      </w:r>
      <w:r>
        <w:rPr>
          <w:sz w:val="18"/>
        </w:rPr>
        <w:t>semestre</w:t>
      </w:r>
      <w:r>
        <w:rPr>
          <w:spacing w:val="-5"/>
          <w:sz w:val="18"/>
        </w:rPr>
        <w:t> </w:t>
      </w:r>
      <w:r>
        <w:rPr>
          <w:spacing w:val="-2"/>
          <w:sz w:val="18"/>
        </w:rPr>
        <w:t>2024.</w:t>
      </w:r>
    </w:p>
    <w:p>
      <w:pPr>
        <w:pStyle w:val="BodyText"/>
        <w:rPr>
          <w:sz w:val="18"/>
        </w:rPr>
      </w:pPr>
    </w:p>
    <w:p>
      <w:pPr>
        <w:pStyle w:val="BodyText"/>
        <w:spacing w:before="139"/>
        <w:rPr>
          <w:sz w:val="18"/>
        </w:rPr>
      </w:pPr>
    </w:p>
    <w:p>
      <w:pPr>
        <w:pStyle w:val="BodyText"/>
        <w:ind w:left="165" w:right="431"/>
      </w:pPr>
      <w:r>
        <w:rPr/>
        <w:t>De</w:t>
      </w:r>
      <w:r>
        <w:rPr>
          <w:spacing w:val="-2"/>
        </w:rPr>
        <w:t> </w:t>
      </w:r>
      <w:r>
        <w:rPr/>
        <w:t>acuerdo</w:t>
      </w:r>
      <w:r>
        <w:rPr>
          <w:spacing w:val="-2"/>
        </w:rPr>
        <w:t> </w:t>
      </w:r>
      <w:r>
        <w:rPr/>
        <w:t>con</w:t>
      </w:r>
      <w:r>
        <w:rPr>
          <w:spacing w:val="-2"/>
        </w:rPr>
        <w:t> </w:t>
      </w:r>
      <w:r>
        <w:rPr/>
        <w:t>la</w:t>
      </w:r>
      <w:r>
        <w:rPr>
          <w:spacing w:val="-4"/>
        </w:rPr>
        <w:t> </w:t>
      </w:r>
      <w:r>
        <w:rPr/>
        <w:t>metodología</w:t>
      </w:r>
      <w:r>
        <w:rPr>
          <w:spacing w:val="-3"/>
        </w:rPr>
        <w:t> </w:t>
      </w:r>
      <w:r>
        <w:rPr/>
        <w:t>arriba</w:t>
      </w:r>
      <w:r>
        <w:rPr>
          <w:spacing w:val="-1"/>
        </w:rPr>
        <w:t> </w:t>
      </w:r>
      <w:r>
        <w:rPr/>
        <w:t>descrita,</w:t>
      </w:r>
      <w:r>
        <w:rPr>
          <w:spacing w:val="-2"/>
        </w:rPr>
        <w:t> </w:t>
      </w:r>
      <w:r>
        <w:rPr/>
        <w:t>estos</w:t>
      </w:r>
      <w:r>
        <w:rPr>
          <w:spacing w:val="-2"/>
        </w:rPr>
        <w:t> </w:t>
      </w:r>
      <w:r>
        <w:rPr/>
        <w:t>76</w:t>
      </w:r>
      <w:r>
        <w:rPr>
          <w:spacing w:val="-1"/>
        </w:rPr>
        <w:t> </w:t>
      </w:r>
      <w:r>
        <w:rPr/>
        <w:t>resultados</w:t>
      </w:r>
      <w:r>
        <w:rPr>
          <w:spacing w:val="-4"/>
        </w:rPr>
        <w:t> </w:t>
      </w:r>
      <w:r>
        <w:rPr/>
        <w:t>activos</w:t>
      </w:r>
      <w:r>
        <w:rPr>
          <w:spacing w:val="-1"/>
        </w:rPr>
        <w:t> </w:t>
      </w:r>
      <w:r>
        <w:rPr/>
        <w:t>del</w:t>
      </w:r>
      <w:r>
        <w:rPr>
          <w:spacing w:val="-2"/>
        </w:rPr>
        <w:t> </w:t>
      </w:r>
      <w:r>
        <w:rPr/>
        <w:t>periodo</w:t>
      </w:r>
      <w:r>
        <w:rPr>
          <w:spacing w:val="-3"/>
        </w:rPr>
        <w:t> </w:t>
      </w:r>
      <w:r>
        <w:rPr/>
        <w:t>de</w:t>
      </w:r>
      <w:r>
        <w:rPr>
          <w:spacing w:val="-4"/>
        </w:rPr>
        <w:t> </w:t>
      </w:r>
      <w:r>
        <w:rPr/>
        <w:t>estudio, en términos generales se dividen en categorías de cumplimiento de acuerdo con lo programado, de la siguiente manera:</w:t>
      </w:r>
    </w:p>
    <w:p>
      <w:pPr>
        <w:pStyle w:val="BodyText"/>
      </w:pPr>
    </w:p>
    <w:p>
      <w:pPr>
        <w:pStyle w:val="ListParagraph"/>
        <w:numPr>
          <w:ilvl w:val="0"/>
          <w:numId w:val="10"/>
        </w:numPr>
        <w:tabs>
          <w:tab w:pos="2325" w:val="left" w:leader="none"/>
        </w:tabs>
        <w:spacing w:line="240" w:lineRule="auto" w:before="0" w:after="0"/>
        <w:ind w:left="2325" w:right="0" w:hanging="458"/>
        <w:jc w:val="left"/>
        <w:rPr>
          <w:sz w:val="24"/>
        </w:rPr>
      </w:pPr>
      <w:r>
        <w:rPr>
          <w:sz w:val="24"/>
        </w:rPr>
        <w:t>49</w:t>
      </w:r>
      <w:r>
        <w:rPr>
          <w:spacing w:val="-2"/>
          <w:sz w:val="24"/>
        </w:rPr>
        <w:t> </w:t>
      </w:r>
      <w:r>
        <w:rPr>
          <w:sz w:val="24"/>
        </w:rPr>
        <w:t>se</w:t>
      </w:r>
      <w:r>
        <w:rPr>
          <w:spacing w:val="-5"/>
          <w:sz w:val="24"/>
        </w:rPr>
        <w:t> </w:t>
      </w:r>
      <w:r>
        <w:rPr>
          <w:sz w:val="24"/>
        </w:rPr>
        <w:t>ubican</w:t>
      </w:r>
      <w:r>
        <w:rPr>
          <w:spacing w:val="-2"/>
          <w:sz w:val="24"/>
        </w:rPr>
        <w:t> </w:t>
      </w:r>
      <w:r>
        <w:rPr>
          <w:sz w:val="24"/>
        </w:rPr>
        <w:t>bajo</w:t>
      </w:r>
      <w:r>
        <w:rPr>
          <w:spacing w:val="-3"/>
          <w:sz w:val="24"/>
        </w:rPr>
        <w:t> </w:t>
      </w:r>
      <w:r>
        <w:rPr>
          <w:sz w:val="24"/>
        </w:rPr>
        <w:t>la</w:t>
      </w:r>
      <w:r>
        <w:rPr>
          <w:spacing w:val="-5"/>
          <w:sz w:val="24"/>
        </w:rPr>
        <w:t> </w:t>
      </w:r>
      <w:r>
        <w:rPr>
          <w:sz w:val="24"/>
        </w:rPr>
        <w:t>categoría</w:t>
      </w:r>
      <w:r>
        <w:rPr>
          <w:spacing w:val="-2"/>
          <w:sz w:val="24"/>
        </w:rPr>
        <w:t> </w:t>
      </w:r>
      <w:r>
        <w:rPr>
          <w:sz w:val="24"/>
        </w:rPr>
        <w:t>de</w:t>
      </w:r>
      <w:r>
        <w:rPr>
          <w:spacing w:val="-3"/>
          <w:sz w:val="24"/>
        </w:rPr>
        <w:t> </w:t>
      </w:r>
      <w:r>
        <w:rPr>
          <w:sz w:val="24"/>
        </w:rPr>
        <w:t>cumplimiento</w:t>
      </w:r>
      <w:r>
        <w:rPr>
          <w:spacing w:val="-2"/>
          <w:sz w:val="24"/>
        </w:rPr>
        <w:t> alto.</w:t>
      </w:r>
    </w:p>
    <w:p>
      <w:pPr>
        <w:pStyle w:val="ListParagraph"/>
        <w:numPr>
          <w:ilvl w:val="0"/>
          <w:numId w:val="10"/>
        </w:numPr>
        <w:tabs>
          <w:tab w:pos="2325" w:val="left" w:leader="none"/>
        </w:tabs>
        <w:spacing w:line="240" w:lineRule="auto" w:before="1" w:after="0"/>
        <w:ind w:left="2325" w:right="0" w:hanging="458"/>
        <w:jc w:val="left"/>
        <w:rPr>
          <w:sz w:val="24"/>
        </w:rPr>
      </w:pPr>
      <w:r>
        <w:rPr>
          <w:sz w:val="24"/>
        </w:rPr>
        <w:t>1</w:t>
      </w:r>
      <w:r>
        <w:rPr>
          <w:spacing w:val="-2"/>
          <w:sz w:val="24"/>
        </w:rPr>
        <w:t> </w:t>
      </w:r>
      <w:r>
        <w:rPr>
          <w:sz w:val="24"/>
        </w:rPr>
        <w:t>se</w:t>
      </w:r>
      <w:r>
        <w:rPr>
          <w:spacing w:val="-4"/>
          <w:sz w:val="24"/>
        </w:rPr>
        <w:t> </w:t>
      </w:r>
      <w:r>
        <w:rPr>
          <w:sz w:val="24"/>
        </w:rPr>
        <w:t>ubican</w:t>
      </w:r>
      <w:r>
        <w:rPr>
          <w:spacing w:val="-4"/>
          <w:sz w:val="24"/>
        </w:rPr>
        <w:t> </w:t>
      </w:r>
      <w:r>
        <w:rPr>
          <w:sz w:val="24"/>
        </w:rPr>
        <w:t>bajo</w:t>
      </w:r>
      <w:r>
        <w:rPr>
          <w:spacing w:val="-2"/>
          <w:sz w:val="24"/>
        </w:rPr>
        <w:t> </w:t>
      </w:r>
      <w:r>
        <w:rPr>
          <w:sz w:val="24"/>
        </w:rPr>
        <w:t>la</w:t>
      </w:r>
      <w:r>
        <w:rPr>
          <w:spacing w:val="-2"/>
          <w:sz w:val="24"/>
        </w:rPr>
        <w:t> </w:t>
      </w:r>
      <w:r>
        <w:rPr>
          <w:sz w:val="24"/>
        </w:rPr>
        <w:t>categoría</w:t>
      </w:r>
      <w:r>
        <w:rPr>
          <w:spacing w:val="-5"/>
          <w:sz w:val="24"/>
        </w:rPr>
        <w:t> </w:t>
      </w:r>
      <w:r>
        <w:rPr>
          <w:sz w:val="24"/>
        </w:rPr>
        <w:t>de</w:t>
      </w:r>
      <w:r>
        <w:rPr>
          <w:spacing w:val="-4"/>
          <w:sz w:val="24"/>
        </w:rPr>
        <w:t> </w:t>
      </w:r>
      <w:r>
        <w:rPr>
          <w:sz w:val="24"/>
        </w:rPr>
        <w:t>cumplimiento</w:t>
      </w:r>
      <w:r>
        <w:rPr>
          <w:spacing w:val="-2"/>
          <w:sz w:val="24"/>
        </w:rPr>
        <w:t> medio.</w:t>
      </w:r>
    </w:p>
    <w:p>
      <w:pPr>
        <w:pStyle w:val="ListParagraph"/>
        <w:numPr>
          <w:ilvl w:val="0"/>
          <w:numId w:val="10"/>
        </w:numPr>
        <w:tabs>
          <w:tab w:pos="2325" w:val="left" w:leader="none"/>
        </w:tabs>
        <w:spacing w:line="240" w:lineRule="auto" w:before="0" w:after="0"/>
        <w:ind w:left="2325" w:right="0" w:hanging="458"/>
        <w:jc w:val="left"/>
        <w:rPr>
          <w:sz w:val="24"/>
        </w:rPr>
      </w:pPr>
      <w:r>
        <w:rPr>
          <w:sz w:val="24"/>
        </w:rPr>
        <w:t>26</w:t>
      </w:r>
      <w:r>
        <w:rPr>
          <w:spacing w:val="-2"/>
          <w:sz w:val="24"/>
        </w:rPr>
        <w:t> </w:t>
      </w:r>
      <w:r>
        <w:rPr>
          <w:sz w:val="24"/>
        </w:rPr>
        <w:t>se</w:t>
      </w:r>
      <w:r>
        <w:rPr>
          <w:spacing w:val="-5"/>
          <w:sz w:val="24"/>
        </w:rPr>
        <w:t> </w:t>
      </w:r>
      <w:r>
        <w:rPr>
          <w:sz w:val="24"/>
        </w:rPr>
        <w:t>ubican</w:t>
      </w:r>
      <w:r>
        <w:rPr>
          <w:spacing w:val="-3"/>
          <w:sz w:val="24"/>
        </w:rPr>
        <w:t> </w:t>
      </w:r>
      <w:r>
        <w:rPr>
          <w:sz w:val="24"/>
        </w:rPr>
        <w:t>bajo</w:t>
      </w:r>
      <w:r>
        <w:rPr>
          <w:spacing w:val="-3"/>
          <w:sz w:val="24"/>
        </w:rPr>
        <w:t> </w:t>
      </w:r>
      <w:r>
        <w:rPr>
          <w:sz w:val="24"/>
        </w:rPr>
        <w:t>la</w:t>
      </w:r>
      <w:r>
        <w:rPr>
          <w:spacing w:val="-5"/>
          <w:sz w:val="24"/>
        </w:rPr>
        <w:t> </w:t>
      </w:r>
      <w:r>
        <w:rPr>
          <w:sz w:val="24"/>
        </w:rPr>
        <w:t>categoría</w:t>
      </w:r>
      <w:r>
        <w:rPr>
          <w:spacing w:val="-3"/>
          <w:sz w:val="24"/>
        </w:rPr>
        <w:t> </w:t>
      </w:r>
      <w:r>
        <w:rPr>
          <w:sz w:val="24"/>
        </w:rPr>
        <w:t>cumplimiento</w:t>
      </w:r>
      <w:r>
        <w:rPr>
          <w:spacing w:val="-2"/>
          <w:sz w:val="24"/>
        </w:rPr>
        <w:t> bajo.</w:t>
      </w:r>
    </w:p>
    <w:p>
      <w:pPr>
        <w:pStyle w:val="BodyText"/>
      </w:pPr>
    </w:p>
    <w:p>
      <w:pPr>
        <w:pStyle w:val="BodyText"/>
        <w:spacing w:before="275"/>
      </w:pPr>
    </w:p>
    <w:p>
      <w:pPr>
        <w:pStyle w:val="BodyText"/>
        <w:spacing w:before="1"/>
        <w:ind w:left="165"/>
      </w:pPr>
      <w:r>
        <w:rPr/>
        <w:t>Distribuidos</w:t>
      </w:r>
      <w:r>
        <w:rPr>
          <w:spacing w:val="-4"/>
        </w:rPr>
        <w:t> </w:t>
      </w:r>
      <w:r>
        <w:rPr/>
        <w:t>por</w:t>
      </w:r>
      <w:r>
        <w:rPr>
          <w:spacing w:val="-4"/>
        </w:rPr>
        <w:t> </w:t>
      </w:r>
      <w:r>
        <w:rPr/>
        <w:t>Eje</w:t>
      </w:r>
      <w:r>
        <w:rPr>
          <w:spacing w:val="-3"/>
        </w:rPr>
        <w:t> </w:t>
      </w:r>
      <w:r>
        <w:rPr/>
        <w:t>Estratégico</w:t>
      </w:r>
      <w:r>
        <w:rPr>
          <w:spacing w:val="-5"/>
        </w:rPr>
        <w:t> </w:t>
      </w:r>
      <w:r>
        <w:rPr/>
        <w:t>según</w:t>
      </w:r>
      <w:r>
        <w:rPr>
          <w:spacing w:val="-4"/>
        </w:rPr>
        <w:t> </w:t>
      </w:r>
      <w:r>
        <w:rPr/>
        <w:t>categoría</w:t>
      </w:r>
      <w:r>
        <w:rPr>
          <w:spacing w:val="-4"/>
        </w:rPr>
        <w:t> </w:t>
      </w:r>
      <w:r>
        <w:rPr/>
        <w:t>de</w:t>
      </w:r>
      <w:r>
        <w:rPr>
          <w:spacing w:val="-4"/>
        </w:rPr>
        <w:t> </w:t>
      </w:r>
      <w:r>
        <w:rPr/>
        <w:t>la</w:t>
      </w:r>
      <w:r>
        <w:rPr>
          <w:spacing w:val="-4"/>
        </w:rPr>
        <w:t> </w:t>
      </w:r>
      <w:r>
        <w:rPr/>
        <w:t>siguiente</w:t>
      </w:r>
      <w:r>
        <w:rPr>
          <w:spacing w:val="-4"/>
        </w:rPr>
        <w:t> </w:t>
      </w:r>
      <w:r>
        <w:rPr>
          <w:spacing w:val="-2"/>
        </w:rPr>
        <w:t>forma:</w:t>
      </w:r>
    </w:p>
    <w:p>
      <w:pPr>
        <w:pStyle w:val="BodyText"/>
        <w:spacing w:after="0"/>
        <w:sectPr>
          <w:headerReference w:type="default" r:id="rId58"/>
          <w:footerReference w:type="default" r:id="rId59"/>
          <w:pgSz w:w="13370" w:h="17280"/>
          <w:pgMar w:header="0" w:footer="915" w:top="900" w:bottom="1100" w:left="1275" w:right="992"/>
        </w:sectPr>
      </w:pPr>
    </w:p>
    <w:p>
      <w:pPr>
        <w:spacing w:line="252" w:lineRule="exact" w:before="72"/>
        <w:ind w:left="218" w:right="437" w:firstLine="0"/>
        <w:jc w:val="center"/>
        <w:rPr>
          <w:b/>
          <w:sz w:val="22"/>
        </w:rPr>
      </w:pPr>
      <w:r>
        <w:rPr>
          <w:b/>
          <w:sz w:val="22"/>
        </w:rPr>
        <w:t>Gráfico</w:t>
      </w:r>
      <w:r>
        <w:rPr>
          <w:b/>
          <w:spacing w:val="-5"/>
          <w:sz w:val="22"/>
        </w:rPr>
        <w:t> </w:t>
      </w:r>
      <w:r>
        <w:rPr>
          <w:b/>
          <w:sz w:val="22"/>
        </w:rPr>
        <w:t>#</w:t>
      </w:r>
      <w:r>
        <w:rPr>
          <w:b/>
          <w:spacing w:val="-2"/>
          <w:sz w:val="22"/>
        </w:rPr>
        <w:t> </w:t>
      </w:r>
      <w:r>
        <w:rPr>
          <w:b/>
          <w:spacing w:val="-10"/>
          <w:sz w:val="22"/>
        </w:rPr>
        <w:t>2</w:t>
      </w:r>
    </w:p>
    <w:p>
      <w:pPr>
        <w:spacing w:before="0"/>
        <w:ind w:left="1246" w:right="1468" w:firstLine="0"/>
        <w:jc w:val="center"/>
        <w:rPr>
          <w:b/>
          <w:sz w:val="22"/>
        </w:rPr>
      </w:pPr>
      <w:r>
        <w:rPr>
          <w:b/>
          <w:sz w:val="22"/>
        </w:rPr>
        <w:t>Distribución</w:t>
      </w:r>
      <w:r>
        <w:rPr>
          <w:b/>
          <w:spacing w:val="-5"/>
          <w:sz w:val="22"/>
        </w:rPr>
        <w:t> </w:t>
      </w:r>
      <w:r>
        <w:rPr>
          <w:b/>
          <w:sz w:val="22"/>
        </w:rPr>
        <w:t>de</w:t>
      </w:r>
      <w:r>
        <w:rPr>
          <w:b/>
          <w:spacing w:val="-5"/>
          <w:sz w:val="22"/>
        </w:rPr>
        <w:t> </w:t>
      </w:r>
      <w:r>
        <w:rPr>
          <w:b/>
          <w:sz w:val="22"/>
        </w:rPr>
        <w:t>resultados</w:t>
      </w:r>
      <w:r>
        <w:rPr>
          <w:b/>
          <w:spacing w:val="-3"/>
          <w:sz w:val="22"/>
        </w:rPr>
        <w:t> </w:t>
      </w:r>
      <w:r>
        <w:rPr>
          <w:b/>
          <w:sz w:val="22"/>
        </w:rPr>
        <w:t>activos</w:t>
      </w:r>
      <w:r>
        <w:rPr>
          <w:b/>
          <w:spacing w:val="-3"/>
          <w:sz w:val="22"/>
        </w:rPr>
        <w:t> </w:t>
      </w:r>
      <w:r>
        <w:rPr>
          <w:b/>
          <w:sz w:val="22"/>
        </w:rPr>
        <w:t>del</w:t>
      </w:r>
      <w:r>
        <w:rPr>
          <w:b/>
          <w:spacing w:val="-1"/>
          <w:sz w:val="22"/>
        </w:rPr>
        <w:t> </w:t>
      </w:r>
      <w:r>
        <w:rPr>
          <w:b/>
          <w:sz w:val="22"/>
        </w:rPr>
        <w:t>PEI</w:t>
      </w:r>
      <w:r>
        <w:rPr>
          <w:b/>
          <w:spacing w:val="-4"/>
          <w:sz w:val="22"/>
        </w:rPr>
        <w:t> </w:t>
      </w:r>
      <w:r>
        <w:rPr>
          <w:b/>
          <w:sz w:val="22"/>
        </w:rPr>
        <w:t>2023-2028</w:t>
      </w:r>
      <w:r>
        <w:rPr>
          <w:b/>
          <w:spacing w:val="-3"/>
          <w:sz w:val="22"/>
        </w:rPr>
        <w:t> </w:t>
      </w:r>
      <w:r>
        <w:rPr>
          <w:b/>
          <w:sz w:val="22"/>
        </w:rPr>
        <w:t>por</w:t>
      </w:r>
      <w:r>
        <w:rPr>
          <w:b/>
          <w:spacing w:val="-4"/>
          <w:sz w:val="22"/>
        </w:rPr>
        <w:t> </w:t>
      </w:r>
      <w:r>
        <w:rPr>
          <w:b/>
          <w:sz w:val="22"/>
        </w:rPr>
        <w:t>Ejes</w:t>
      </w:r>
      <w:r>
        <w:rPr>
          <w:b/>
          <w:spacing w:val="-5"/>
          <w:sz w:val="22"/>
        </w:rPr>
        <w:t> </w:t>
      </w:r>
      <w:r>
        <w:rPr>
          <w:b/>
          <w:sz w:val="22"/>
        </w:rPr>
        <w:t>Estratégicos según categoría de cumplimiento, I semestre 2024.</w:t>
      </w:r>
    </w:p>
    <w:p>
      <w:pPr>
        <w:pStyle w:val="BodyText"/>
        <w:spacing w:before="21"/>
        <w:rPr>
          <w:b/>
          <w:sz w:val="20"/>
        </w:rPr>
      </w:pPr>
      <w:r>
        <w:rPr>
          <w:b/>
          <w:sz w:val="20"/>
        </w:rPr>
        <w:drawing>
          <wp:anchor distT="0" distB="0" distL="0" distR="0" allowOverlap="1" layoutInCell="1" locked="0" behindDoc="1" simplePos="0" relativeHeight="487616000">
            <wp:simplePos x="0" y="0"/>
            <wp:positionH relativeFrom="page">
              <wp:posOffset>1511935</wp:posOffset>
            </wp:positionH>
            <wp:positionV relativeFrom="paragraph">
              <wp:posOffset>174976</wp:posOffset>
            </wp:positionV>
            <wp:extent cx="5497451" cy="2755392"/>
            <wp:effectExtent l="0" t="0" r="0" b="0"/>
            <wp:wrapTopAndBottom/>
            <wp:docPr id="105" name="Image 105"/>
            <wp:cNvGraphicFramePr>
              <a:graphicFrameLocks/>
            </wp:cNvGraphicFramePr>
            <a:graphic>
              <a:graphicData uri="http://schemas.openxmlformats.org/drawingml/2006/picture">
                <pic:pic>
                  <pic:nvPicPr>
                    <pic:cNvPr id="105" name="Image 105"/>
                    <pic:cNvPicPr/>
                  </pic:nvPicPr>
                  <pic:blipFill>
                    <a:blip r:embed="rId63" cstate="print"/>
                    <a:stretch>
                      <a:fillRect/>
                    </a:stretch>
                  </pic:blipFill>
                  <pic:spPr>
                    <a:xfrm>
                      <a:off x="0" y="0"/>
                      <a:ext cx="5497451" cy="2755392"/>
                    </a:xfrm>
                    <a:prstGeom prst="rect">
                      <a:avLst/>
                    </a:prstGeom>
                  </pic:spPr>
                </pic:pic>
              </a:graphicData>
            </a:graphic>
          </wp:anchor>
        </w:drawing>
      </w:r>
    </w:p>
    <w:p>
      <w:pPr>
        <w:spacing w:before="3"/>
        <w:ind w:left="215" w:right="437" w:firstLine="0"/>
        <w:jc w:val="center"/>
        <w:rPr>
          <w:sz w:val="18"/>
        </w:rPr>
      </w:pPr>
      <w:r>
        <w:rPr>
          <w:sz w:val="18"/>
        </w:rPr>
        <w:t>Fuente</w:t>
      </w:r>
      <w:r>
        <w:rPr>
          <w:spacing w:val="-6"/>
          <w:sz w:val="18"/>
        </w:rPr>
        <w:t> </w:t>
      </w:r>
      <w:r>
        <w:rPr>
          <w:sz w:val="18"/>
        </w:rPr>
        <w:t>Herramienta</w:t>
      </w:r>
      <w:r>
        <w:rPr>
          <w:spacing w:val="-4"/>
          <w:sz w:val="18"/>
        </w:rPr>
        <w:t> </w:t>
      </w:r>
      <w:r>
        <w:rPr>
          <w:sz w:val="18"/>
        </w:rPr>
        <w:t>DELPHOS,</w:t>
      </w:r>
      <w:r>
        <w:rPr>
          <w:spacing w:val="-3"/>
          <w:sz w:val="18"/>
        </w:rPr>
        <w:t> </w:t>
      </w:r>
      <w:r>
        <w:rPr>
          <w:sz w:val="18"/>
        </w:rPr>
        <w:t>I</w:t>
      </w:r>
      <w:r>
        <w:rPr>
          <w:spacing w:val="-4"/>
          <w:sz w:val="18"/>
        </w:rPr>
        <w:t> </w:t>
      </w:r>
      <w:r>
        <w:rPr>
          <w:sz w:val="18"/>
        </w:rPr>
        <w:t>semestre</w:t>
      </w:r>
      <w:r>
        <w:rPr>
          <w:spacing w:val="-5"/>
          <w:sz w:val="18"/>
        </w:rPr>
        <w:t> </w:t>
      </w:r>
      <w:r>
        <w:rPr>
          <w:spacing w:val="-2"/>
          <w:sz w:val="18"/>
        </w:rPr>
        <w:t>2024.</w:t>
      </w:r>
    </w:p>
    <w:p>
      <w:pPr>
        <w:pStyle w:val="BodyText"/>
        <w:rPr>
          <w:sz w:val="18"/>
        </w:rPr>
      </w:pPr>
    </w:p>
    <w:p>
      <w:pPr>
        <w:pStyle w:val="BodyText"/>
        <w:spacing w:before="45"/>
        <w:rPr>
          <w:sz w:val="18"/>
        </w:rPr>
      </w:pPr>
    </w:p>
    <w:p>
      <w:pPr>
        <w:pStyle w:val="BodyText"/>
        <w:ind w:left="165" w:right="431"/>
      </w:pPr>
      <w:r>
        <w:rPr/>
        <w:t>Esta distribución de resultados activos según categorías proporciona un porcentaje de avance por Eje Estratégico para el I semestre 2024, que se refleja en el siguiente grafico</w:t>
      </w:r>
    </w:p>
    <w:p>
      <w:pPr>
        <w:pStyle w:val="BodyText"/>
      </w:pPr>
    </w:p>
    <w:p>
      <w:pPr>
        <w:pStyle w:val="BodyText"/>
        <w:spacing w:before="230"/>
      </w:pPr>
    </w:p>
    <w:p>
      <w:pPr>
        <w:spacing w:before="0"/>
        <w:ind w:left="218" w:right="437" w:firstLine="0"/>
        <w:jc w:val="center"/>
        <w:rPr>
          <w:b/>
          <w:sz w:val="22"/>
        </w:rPr>
      </w:pPr>
      <w:r>
        <w:rPr>
          <w:b/>
          <w:sz w:val="22"/>
        </w:rPr>
        <w:t>Gráfico</w:t>
      </w:r>
      <w:r>
        <w:rPr>
          <w:b/>
          <w:spacing w:val="-5"/>
          <w:sz w:val="22"/>
        </w:rPr>
        <w:t> </w:t>
      </w:r>
      <w:r>
        <w:rPr>
          <w:b/>
          <w:sz w:val="22"/>
        </w:rPr>
        <w:t>#</w:t>
      </w:r>
      <w:r>
        <w:rPr>
          <w:b/>
          <w:spacing w:val="-2"/>
          <w:sz w:val="22"/>
        </w:rPr>
        <w:t> </w:t>
      </w:r>
      <w:r>
        <w:rPr>
          <w:b/>
          <w:spacing w:val="-10"/>
          <w:sz w:val="22"/>
        </w:rPr>
        <w:t>3</w:t>
      </w:r>
    </w:p>
    <w:p>
      <w:pPr>
        <w:spacing w:before="2"/>
        <w:ind w:left="2200" w:right="2419" w:firstLine="0"/>
        <w:jc w:val="center"/>
        <w:rPr>
          <w:b/>
          <w:sz w:val="22"/>
        </w:rPr>
      </w:pPr>
      <w:r>
        <w:rPr>
          <w:b/>
          <w:sz w:val="22"/>
        </w:rPr>
        <w:t>Porcentaje</w:t>
      </w:r>
      <w:r>
        <w:rPr>
          <w:b/>
          <w:spacing w:val="-5"/>
          <w:sz w:val="22"/>
        </w:rPr>
        <w:t> </w:t>
      </w:r>
      <w:r>
        <w:rPr>
          <w:b/>
          <w:sz w:val="22"/>
        </w:rPr>
        <w:t>de</w:t>
      </w:r>
      <w:r>
        <w:rPr>
          <w:b/>
          <w:spacing w:val="-3"/>
          <w:sz w:val="22"/>
        </w:rPr>
        <w:t> </w:t>
      </w:r>
      <w:r>
        <w:rPr>
          <w:b/>
          <w:sz w:val="22"/>
        </w:rPr>
        <w:t>avance</w:t>
      </w:r>
      <w:r>
        <w:rPr>
          <w:b/>
          <w:spacing w:val="-5"/>
          <w:sz w:val="22"/>
        </w:rPr>
        <w:t> </w:t>
      </w:r>
      <w:r>
        <w:rPr>
          <w:b/>
          <w:sz w:val="22"/>
        </w:rPr>
        <w:t>por</w:t>
      </w:r>
      <w:r>
        <w:rPr>
          <w:b/>
          <w:spacing w:val="-2"/>
          <w:sz w:val="22"/>
        </w:rPr>
        <w:t> </w:t>
      </w:r>
      <w:r>
        <w:rPr>
          <w:b/>
          <w:sz w:val="22"/>
        </w:rPr>
        <w:t>Ejes</w:t>
      </w:r>
      <w:r>
        <w:rPr>
          <w:b/>
          <w:spacing w:val="-5"/>
          <w:sz w:val="22"/>
        </w:rPr>
        <w:t> </w:t>
      </w:r>
      <w:r>
        <w:rPr>
          <w:b/>
          <w:sz w:val="22"/>
        </w:rPr>
        <w:t>Estratégicos</w:t>
      </w:r>
      <w:r>
        <w:rPr>
          <w:b/>
          <w:spacing w:val="-3"/>
          <w:sz w:val="22"/>
        </w:rPr>
        <w:t> </w:t>
      </w:r>
      <w:r>
        <w:rPr>
          <w:b/>
          <w:sz w:val="22"/>
        </w:rPr>
        <w:t>del</w:t>
      </w:r>
      <w:r>
        <w:rPr>
          <w:b/>
          <w:spacing w:val="-1"/>
          <w:sz w:val="22"/>
        </w:rPr>
        <w:t> </w:t>
      </w:r>
      <w:r>
        <w:rPr>
          <w:b/>
          <w:sz w:val="22"/>
        </w:rPr>
        <w:t>PEI</w:t>
      </w:r>
      <w:r>
        <w:rPr>
          <w:b/>
          <w:spacing w:val="-4"/>
          <w:sz w:val="22"/>
        </w:rPr>
        <w:t> </w:t>
      </w:r>
      <w:r>
        <w:rPr>
          <w:b/>
          <w:sz w:val="22"/>
        </w:rPr>
        <w:t>2023-2028 I semestre 2024.</w:t>
      </w:r>
    </w:p>
    <w:p>
      <w:pPr>
        <w:pStyle w:val="BodyText"/>
        <w:spacing w:before="19"/>
        <w:rPr>
          <w:b/>
          <w:sz w:val="20"/>
        </w:rPr>
      </w:pPr>
      <w:r>
        <w:rPr>
          <w:b/>
          <w:sz w:val="20"/>
        </w:rPr>
        <w:drawing>
          <wp:anchor distT="0" distB="0" distL="0" distR="0" allowOverlap="1" layoutInCell="1" locked="0" behindDoc="1" simplePos="0" relativeHeight="487616512">
            <wp:simplePos x="0" y="0"/>
            <wp:positionH relativeFrom="page">
              <wp:posOffset>1699260</wp:posOffset>
            </wp:positionH>
            <wp:positionV relativeFrom="paragraph">
              <wp:posOffset>173361</wp:posOffset>
            </wp:positionV>
            <wp:extent cx="5124051" cy="2755392"/>
            <wp:effectExtent l="0" t="0" r="0" b="0"/>
            <wp:wrapTopAndBottom/>
            <wp:docPr id="106" name="Image 106"/>
            <wp:cNvGraphicFramePr>
              <a:graphicFrameLocks/>
            </wp:cNvGraphicFramePr>
            <a:graphic>
              <a:graphicData uri="http://schemas.openxmlformats.org/drawingml/2006/picture">
                <pic:pic>
                  <pic:nvPicPr>
                    <pic:cNvPr id="106" name="Image 106"/>
                    <pic:cNvPicPr/>
                  </pic:nvPicPr>
                  <pic:blipFill>
                    <a:blip r:embed="rId64" cstate="print"/>
                    <a:stretch>
                      <a:fillRect/>
                    </a:stretch>
                  </pic:blipFill>
                  <pic:spPr>
                    <a:xfrm>
                      <a:off x="0" y="0"/>
                      <a:ext cx="5124051" cy="2755392"/>
                    </a:xfrm>
                    <a:prstGeom prst="rect">
                      <a:avLst/>
                    </a:prstGeom>
                  </pic:spPr>
                </pic:pic>
              </a:graphicData>
            </a:graphic>
          </wp:anchor>
        </w:drawing>
      </w:r>
    </w:p>
    <w:p>
      <w:pPr>
        <w:spacing w:before="210"/>
        <w:ind w:left="215" w:right="437" w:firstLine="0"/>
        <w:jc w:val="center"/>
        <w:rPr>
          <w:sz w:val="18"/>
        </w:rPr>
      </w:pPr>
      <w:r>
        <w:rPr>
          <w:sz w:val="18"/>
        </w:rPr>
        <w:t>Fuente</w:t>
      </w:r>
      <w:r>
        <w:rPr>
          <w:spacing w:val="-6"/>
          <w:sz w:val="18"/>
        </w:rPr>
        <w:t> </w:t>
      </w:r>
      <w:r>
        <w:rPr>
          <w:sz w:val="18"/>
        </w:rPr>
        <w:t>Herramienta</w:t>
      </w:r>
      <w:r>
        <w:rPr>
          <w:spacing w:val="-4"/>
          <w:sz w:val="18"/>
        </w:rPr>
        <w:t> </w:t>
      </w:r>
      <w:r>
        <w:rPr>
          <w:sz w:val="18"/>
        </w:rPr>
        <w:t>DELPHOS,</w:t>
      </w:r>
      <w:r>
        <w:rPr>
          <w:spacing w:val="-3"/>
          <w:sz w:val="18"/>
        </w:rPr>
        <w:t> </w:t>
      </w:r>
      <w:r>
        <w:rPr>
          <w:sz w:val="18"/>
        </w:rPr>
        <w:t>I</w:t>
      </w:r>
      <w:r>
        <w:rPr>
          <w:spacing w:val="-4"/>
          <w:sz w:val="18"/>
        </w:rPr>
        <w:t> </w:t>
      </w:r>
      <w:r>
        <w:rPr>
          <w:sz w:val="18"/>
        </w:rPr>
        <w:t>semestre</w:t>
      </w:r>
      <w:r>
        <w:rPr>
          <w:spacing w:val="-5"/>
          <w:sz w:val="18"/>
        </w:rPr>
        <w:t> </w:t>
      </w:r>
      <w:r>
        <w:rPr>
          <w:spacing w:val="-2"/>
          <w:sz w:val="18"/>
        </w:rPr>
        <w:t>2024.</w:t>
      </w:r>
    </w:p>
    <w:p>
      <w:pPr>
        <w:pStyle w:val="BodyText"/>
        <w:spacing w:before="69"/>
        <w:rPr>
          <w:sz w:val="18"/>
        </w:rPr>
      </w:pPr>
    </w:p>
    <w:p>
      <w:pPr>
        <w:pStyle w:val="BodyText"/>
        <w:ind w:left="165"/>
      </w:pPr>
      <w:r>
        <w:rPr/>
        <w:t>Seguidamente</w:t>
      </w:r>
      <w:r>
        <w:rPr>
          <w:spacing w:val="-5"/>
        </w:rPr>
        <w:t> </w:t>
      </w:r>
      <w:r>
        <w:rPr/>
        <w:t>se</w:t>
      </w:r>
      <w:r>
        <w:rPr>
          <w:spacing w:val="-3"/>
        </w:rPr>
        <w:t> </w:t>
      </w:r>
      <w:r>
        <w:rPr/>
        <w:t>analizará</w:t>
      </w:r>
      <w:r>
        <w:rPr>
          <w:spacing w:val="-3"/>
        </w:rPr>
        <w:t> </w:t>
      </w:r>
      <w:r>
        <w:rPr/>
        <w:t>cada</w:t>
      </w:r>
      <w:r>
        <w:rPr>
          <w:spacing w:val="-3"/>
        </w:rPr>
        <w:t> </w:t>
      </w:r>
      <w:r>
        <w:rPr/>
        <w:t>Eje</w:t>
      </w:r>
      <w:r>
        <w:rPr>
          <w:spacing w:val="-5"/>
        </w:rPr>
        <w:t> </w:t>
      </w:r>
      <w:r>
        <w:rPr/>
        <w:t>Estratégico,</w:t>
      </w:r>
      <w:r>
        <w:rPr>
          <w:spacing w:val="-3"/>
        </w:rPr>
        <w:t> </w:t>
      </w:r>
      <w:r>
        <w:rPr/>
        <w:t>con</w:t>
      </w:r>
      <w:r>
        <w:rPr>
          <w:spacing w:val="-5"/>
        </w:rPr>
        <w:t> </w:t>
      </w:r>
      <w:r>
        <w:rPr/>
        <w:t>base</w:t>
      </w:r>
      <w:r>
        <w:rPr>
          <w:spacing w:val="-3"/>
        </w:rPr>
        <w:t> </w:t>
      </w:r>
      <w:r>
        <w:rPr/>
        <w:t>en</w:t>
      </w:r>
      <w:r>
        <w:rPr>
          <w:spacing w:val="-3"/>
        </w:rPr>
        <w:t> </w:t>
      </w:r>
      <w:r>
        <w:rPr/>
        <w:t>esos</w:t>
      </w:r>
      <w:r>
        <w:rPr>
          <w:spacing w:val="-4"/>
        </w:rPr>
        <w:t> </w:t>
      </w:r>
      <w:r>
        <w:rPr>
          <w:spacing w:val="-2"/>
        </w:rPr>
        <w:t>resultados.</w:t>
      </w:r>
    </w:p>
    <w:p>
      <w:pPr>
        <w:pStyle w:val="Heading5"/>
        <w:numPr>
          <w:ilvl w:val="0"/>
          <w:numId w:val="11"/>
        </w:numPr>
        <w:tabs>
          <w:tab w:pos="377" w:val="left" w:leader="none"/>
        </w:tabs>
        <w:spacing w:line="240" w:lineRule="auto" w:before="219" w:after="0"/>
        <w:ind w:left="377" w:right="0" w:hanging="212"/>
        <w:jc w:val="left"/>
      </w:pPr>
      <w:r>
        <w:rPr/>
        <w:t>Gestión</w:t>
      </w:r>
      <w:r>
        <w:rPr>
          <w:spacing w:val="-3"/>
        </w:rPr>
        <w:t> </w:t>
      </w:r>
      <w:r>
        <w:rPr/>
        <w:t>del</w:t>
      </w:r>
      <w:r>
        <w:rPr>
          <w:spacing w:val="-2"/>
        </w:rPr>
        <w:t> </w:t>
      </w:r>
      <w:r>
        <w:rPr/>
        <w:t>cambio</w:t>
      </w:r>
      <w:r>
        <w:rPr>
          <w:spacing w:val="-5"/>
        </w:rPr>
        <w:t> </w:t>
      </w:r>
      <w:r>
        <w:rPr/>
        <w:t>e</w:t>
      </w:r>
      <w:r>
        <w:rPr>
          <w:spacing w:val="-1"/>
        </w:rPr>
        <w:t> </w:t>
      </w:r>
      <w:r>
        <w:rPr/>
        <w:t>innovación</w:t>
      </w:r>
      <w:r>
        <w:rPr>
          <w:spacing w:val="-2"/>
        </w:rPr>
        <w:t> Institucional.</w:t>
      </w:r>
    </w:p>
    <w:p>
      <w:pPr>
        <w:pStyle w:val="Heading5"/>
        <w:spacing w:after="0" w:line="240" w:lineRule="auto"/>
        <w:jc w:val="left"/>
        <w:sectPr>
          <w:headerReference w:type="default" r:id="rId61"/>
          <w:footerReference w:type="default" r:id="rId62"/>
          <w:pgSz w:w="13370" w:h="17280"/>
          <w:pgMar w:header="0" w:footer="969" w:top="1380" w:bottom="1160" w:left="1275" w:right="992"/>
        </w:sectPr>
      </w:pPr>
    </w:p>
    <w:p>
      <w:pPr>
        <w:pStyle w:val="BodyText"/>
        <w:spacing w:before="78"/>
        <w:ind w:left="165" w:right="387"/>
        <w:jc w:val="both"/>
      </w:pPr>
      <w:r>
        <w:rPr/>
        <w:t>Como se observa en el gráfico # 3, el Eje Estratégico1 “Gestión del cambio e innovación Institucional”, tuvo un avance para el I semestre del 2024, de un 60.76%.</w:t>
      </w:r>
    </w:p>
    <w:p>
      <w:pPr>
        <w:pStyle w:val="BodyText"/>
      </w:pPr>
    </w:p>
    <w:p>
      <w:pPr>
        <w:pStyle w:val="BodyText"/>
        <w:ind w:left="165" w:right="383"/>
        <w:jc w:val="both"/>
      </w:pPr>
      <w:r>
        <w:rPr/>
        <w:t>Analizando las condiciones</w:t>
      </w:r>
      <w:r>
        <w:rPr>
          <w:spacing w:val="-1"/>
        </w:rPr>
        <w:t> </w:t>
      </w:r>
      <w:r>
        <w:rPr/>
        <w:t>que generaron este porcentaje que lo ubica en “según lo programado”, se debe analizar</w:t>
      </w:r>
      <w:r>
        <w:rPr>
          <w:spacing w:val="-1"/>
        </w:rPr>
        <w:t> </w:t>
      </w:r>
      <w:r>
        <w:rPr/>
        <w:t>el riesgo que permea</w:t>
      </w:r>
      <w:r>
        <w:rPr>
          <w:spacing w:val="-2"/>
        </w:rPr>
        <w:t> </w:t>
      </w:r>
      <w:r>
        <w:rPr/>
        <w:t>a los resultados programados en sus planes de acción, que es la ausencia de instrumentos programáticos que permita tener una visión general del encadenamiento de los resultados de este eje por tema y responsables, y, por tanto, facilite trazar la ruta crítica, sus actividades antecesoras-predecesoras y los tiempos de holgura.</w:t>
      </w:r>
    </w:p>
    <w:p>
      <w:pPr>
        <w:pStyle w:val="BodyText"/>
      </w:pPr>
    </w:p>
    <w:p>
      <w:pPr>
        <w:pStyle w:val="BodyText"/>
        <w:ind w:left="165" w:right="386"/>
        <w:jc w:val="both"/>
      </w:pPr>
      <w:r>
        <w:rPr/>
        <w:t>Lo anterior mencionado, fortalecería el seguimiento a los planes de acción por parte de cada líder del eje estratégico, designado según la directriz IMAS-GG 1943-2024, con su equipo de trabajo de PEI, en estricto apego la programación.</w:t>
      </w:r>
    </w:p>
    <w:p>
      <w:pPr>
        <w:pStyle w:val="BodyText"/>
      </w:pPr>
    </w:p>
    <w:p>
      <w:pPr>
        <w:pStyle w:val="BodyText"/>
        <w:ind w:left="165"/>
        <w:jc w:val="both"/>
      </w:pPr>
      <w:r>
        <w:rPr/>
        <w:t>Ejemplo</w:t>
      </w:r>
      <w:r>
        <w:rPr>
          <w:spacing w:val="-3"/>
        </w:rPr>
        <w:t> </w:t>
      </w:r>
      <w:r>
        <w:rPr/>
        <w:t>de</w:t>
      </w:r>
      <w:r>
        <w:rPr>
          <w:spacing w:val="-1"/>
        </w:rPr>
        <w:t> </w:t>
      </w:r>
      <w:r>
        <w:rPr/>
        <w:t>la</w:t>
      </w:r>
      <w:r>
        <w:rPr>
          <w:spacing w:val="-2"/>
        </w:rPr>
        <w:t> </w:t>
      </w:r>
      <w:r>
        <w:rPr/>
        <w:t>citada</w:t>
      </w:r>
      <w:r>
        <w:rPr>
          <w:spacing w:val="-4"/>
        </w:rPr>
        <w:t> </w:t>
      </w:r>
      <w:r>
        <w:rPr/>
        <w:t>situación</w:t>
      </w:r>
      <w:r>
        <w:rPr>
          <w:spacing w:val="-3"/>
        </w:rPr>
        <w:t> </w:t>
      </w:r>
      <w:r>
        <w:rPr/>
        <w:t>es con</w:t>
      </w:r>
      <w:r>
        <w:rPr>
          <w:spacing w:val="-3"/>
        </w:rPr>
        <w:t> </w:t>
      </w:r>
      <w:r>
        <w:rPr/>
        <w:t>el</w:t>
      </w:r>
      <w:r>
        <w:rPr>
          <w:spacing w:val="-2"/>
        </w:rPr>
        <w:t> resultado:</w:t>
      </w:r>
    </w:p>
    <w:p>
      <w:pPr>
        <w:pStyle w:val="ListParagraph"/>
        <w:numPr>
          <w:ilvl w:val="1"/>
          <w:numId w:val="11"/>
        </w:numPr>
        <w:tabs>
          <w:tab w:pos="873" w:val="left" w:leader="none"/>
        </w:tabs>
        <w:spacing w:line="240" w:lineRule="auto" w:before="275" w:after="0"/>
        <w:ind w:left="873" w:right="1297" w:hanging="360"/>
        <w:jc w:val="left"/>
        <w:rPr>
          <w:rFonts w:ascii="Times New Roman" w:hAnsi="Times New Roman"/>
          <w:sz w:val="24"/>
        </w:rPr>
      </w:pPr>
      <w:r>
        <w:rPr>
          <w:sz w:val="24"/>
          <w:u w:val="single"/>
        </w:rPr>
        <w:t>E1 AE9 R2: Personas</w:t>
      </w:r>
      <w:r>
        <w:rPr>
          <w:spacing w:val="-3"/>
          <w:sz w:val="24"/>
          <w:u w:val="single"/>
        </w:rPr>
        <w:t> </w:t>
      </w:r>
      <w:r>
        <w:rPr>
          <w:sz w:val="24"/>
          <w:u w:val="single"/>
        </w:rPr>
        <w:t>funcionarias</w:t>
      </w:r>
      <w:r>
        <w:rPr>
          <w:spacing w:val="-1"/>
          <w:sz w:val="24"/>
          <w:u w:val="single"/>
        </w:rPr>
        <w:t> </w:t>
      </w:r>
      <w:r>
        <w:rPr>
          <w:sz w:val="24"/>
          <w:u w:val="single"/>
        </w:rPr>
        <w:t>identificadas</w:t>
      </w:r>
      <w:r>
        <w:rPr>
          <w:spacing w:val="-1"/>
          <w:sz w:val="24"/>
          <w:u w:val="single"/>
        </w:rPr>
        <w:t> </w:t>
      </w:r>
      <w:r>
        <w:rPr>
          <w:sz w:val="24"/>
          <w:u w:val="single"/>
        </w:rPr>
        <w:t>y</w:t>
      </w:r>
      <w:r>
        <w:rPr>
          <w:spacing w:val="-1"/>
          <w:sz w:val="24"/>
          <w:u w:val="single"/>
        </w:rPr>
        <w:t> </w:t>
      </w:r>
      <w:r>
        <w:rPr>
          <w:sz w:val="24"/>
          <w:u w:val="single"/>
        </w:rPr>
        <w:t>capacitadas</w:t>
      </w:r>
      <w:r>
        <w:rPr>
          <w:spacing w:val="-1"/>
          <w:sz w:val="24"/>
          <w:u w:val="single"/>
        </w:rPr>
        <w:t> </w:t>
      </w:r>
      <w:r>
        <w:rPr>
          <w:sz w:val="24"/>
          <w:u w:val="single"/>
        </w:rPr>
        <w:t>en</w:t>
      </w:r>
      <w:r>
        <w:rPr>
          <w:spacing w:val="-2"/>
          <w:sz w:val="24"/>
          <w:u w:val="single"/>
        </w:rPr>
        <w:t> </w:t>
      </w:r>
      <w:r>
        <w:rPr>
          <w:sz w:val="24"/>
          <w:u w:val="single"/>
        </w:rPr>
        <w:t>la</w:t>
      </w:r>
      <w:r>
        <w:rPr>
          <w:spacing w:val="-3"/>
          <w:sz w:val="24"/>
          <w:u w:val="single"/>
        </w:rPr>
        <w:t> </w:t>
      </w:r>
      <w:r>
        <w:rPr>
          <w:sz w:val="24"/>
          <w:u w:val="single"/>
        </w:rPr>
        <w:t>aplicación</w:t>
      </w:r>
      <w:r>
        <w:rPr>
          <w:spacing w:val="-2"/>
          <w:sz w:val="24"/>
          <w:u w:val="single"/>
        </w:rPr>
        <w:t> </w:t>
      </w:r>
      <w:r>
        <w:rPr>
          <w:sz w:val="24"/>
          <w:u w:val="single"/>
        </w:rPr>
        <w:t>para</w:t>
      </w:r>
      <w:r>
        <w:rPr>
          <w:sz w:val="24"/>
          <w:u w:val="none"/>
        </w:rPr>
        <w:t> </w:t>
      </w:r>
      <w:r>
        <w:rPr>
          <w:sz w:val="24"/>
          <w:u w:val="single"/>
        </w:rPr>
        <w:t>el cumplimiento de las normas</w:t>
      </w:r>
      <w:r>
        <w:rPr>
          <w:rFonts w:ascii="Times New Roman" w:hAnsi="Times New Roman"/>
          <w:sz w:val="24"/>
          <w:u w:val="none"/>
        </w:rPr>
        <w:t>.</w:t>
      </w:r>
    </w:p>
    <w:p>
      <w:pPr>
        <w:pStyle w:val="BodyText"/>
        <w:rPr>
          <w:rFonts w:ascii="Times New Roman"/>
        </w:rPr>
      </w:pPr>
    </w:p>
    <w:p>
      <w:pPr>
        <w:pStyle w:val="BodyText"/>
        <w:ind w:left="873" w:right="1289"/>
        <w:jc w:val="both"/>
      </w:pPr>
      <w:r>
        <w:rPr/>
        <w:t>Mediante oficio IMAS-DSA-DAF-0049-2024, del 13 de mayo del año en curso se solicitó la capacitación a Desarrollo Humano, por parte de DSA y éste comunicó</w:t>
      </w:r>
      <w:r>
        <w:rPr>
          <w:spacing w:val="40"/>
        </w:rPr>
        <w:t> </w:t>
      </w:r>
      <w:r>
        <w:rPr/>
        <w:t>que se iniciaría en agosto del 2024, esa descoordinación implicó que el resultado</w:t>
      </w:r>
      <w:r>
        <w:rPr>
          <w:spacing w:val="40"/>
        </w:rPr>
        <w:t> </w:t>
      </w:r>
      <w:r>
        <w:rPr/>
        <w:t>no se lograra en el tiempo programado, por tanto, el resultado aporta un avance de un de 0%.</w:t>
      </w:r>
    </w:p>
    <w:p>
      <w:pPr>
        <w:pStyle w:val="BodyText"/>
      </w:pPr>
    </w:p>
    <w:p>
      <w:pPr>
        <w:pStyle w:val="BodyText"/>
        <w:ind w:left="165"/>
      </w:pPr>
      <w:r>
        <w:rPr/>
        <w:t>Otro</w:t>
      </w:r>
      <w:r>
        <w:rPr>
          <w:spacing w:val="-2"/>
        </w:rPr>
        <w:t> </w:t>
      </w:r>
      <w:r>
        <w:rPr/>
        <w:t>ejemplo</w:t>
      </w:r>
      <w:r>
        <w:rPr>
          <w:spacing w:val="-4"/>
        </w:rPr>
        <w:t> </w:t>
      </w:r>
      <w:r>
        <w:rPr/>
        <w:t>es</w:t>
      </w:r>
      <w:r>
        <w:rPr>
          <w:spacing w:val="-4"/>
        </w:rPr>
        <w:t> </w:t>
      </w:r>
      <w:r>
        <w:rPr/>
        <w:t>el</w:t>
      </w:r>
      <w:r>
        <w:rPr>
          <w:spacing w:val="-2"/>
        </w:rPr>
        <w:t> </w:t>
      </w:r>
      <w:r>
        <w:rPr/>
        <w:t>resultado</w:t>
      </w:r>
      <w:r>
        <w:rPr>
          <w:spacing w:val="-1"/>
        </w:rPr>
        <w:t> </w:t>
      </w:r>
      <w:r>
        <w:rPr>
          <w:spacing w:val="-5"/>
        </w:rPr>
        <w:t>de</w:t>
      </w:r>
    </w:p>
    <w:p>
      <w:pPr>
        <w:pStyle w:val="BodyText"/>
        <w:spacing w:before="1"/>
      </w:pPr>
    </w:p>
    <w:p>
      <w:pPr>
        <w:pStyle w:val="ListParagraph"/>
        <w:numPr>
          <w:ilvl w:val="1"/>
          <w:numId w:val="11"/>
        </w:numPr>
        <w:tabs>
          <w:tab w:pos="885" w:val="left" w:leader="none"/>
        </w:tabs>
        <w:spacing w:line="350" w:lineRule="auto" w:before="0" w:after="0"/>
        <w:ind w:left="885" w:right="397" w:hanging="360"/>
        <w:jc w:val="left"/>
        <w:rPr>
          <w:sz w:val="24"/>
        </w:rPr>
      </w:pPr>
      <w:r>
        <w:rPr>
          <w:sz w:val="24"/>
          <w:u w:val="single"/>
        </w:rPr>
        <w:t>E1</w:t>
      </w:r>
      <w:r>
        <w:rPr>
          <w:spacing w:val="27"/>
          <w:sz w:val="24"/>
          <w:u w:val="single"/>
        </w:rPr>
        <w:t> </w:t>
      </w:r>
      <w:r>
        <w:rPr>
          <w:sz w:val="24"/>
          <w:u w:val="single"/>
        </w:rPr>
        <w:t>AE1</w:t>
      </w:r>
      <w:r>
        <w:rPr>
          <w:spacing w:val="39"/>
          <w:sz w:val="24"/>
          <w:u w:val="single"/>
        </w:rPr>
        <w:t> </w:t>
      </w:r>
      <w:r>
        <w:rPr>
          <w:sz w:val="24"/>
          <w:u w:val="single"/>
        </w:rPr>
        <w:t>R3:</w:t>
      </w:r>
      <w:r>
        <w:rPr>
          <w:spacing w:val="39"/>
          <w:sz w:val="24"/>
          <w:u w:val="single"/>
        </w:rPr>
        <w:t> </w:t>
      </w:r>
      <w:r>
        <w:rPr>
          <w:sz w:val="24"/>
          <w:u w:val="single"/>
        </w:rPr>
        <w:t>Sistema</w:t>
      </w:r>
      <w:r>
        <w:rPr>
          <w:spacing w:val="36"/>
          <w:sz w:val="24"/>
          <w:u w:val="single"/>
        </w:rPr>
        <w:t> </w:t>
      </w:r>
      <w:r>
        <w:rPr>
          <w:sz w:val="24"/>
          <w:u w:val="single"/>
        </w:rPr>
        <w:t>de</w:t>
      </w:r>
      <w:r>
        <w:rPr>
          <w:spacing w:val="40"/>
          <w:sz w:val="24"/>
          <w:u w:val="single"/>
        </w:rPr>
        <w:t> </w:t>
      </w:r>
      <w:r>
        <w:rPr>
          <w:sz w:val="24"/>
          <w:u w:val="single"/>
        </w:rPr>
        <w:t>indicadores</w:t>
      </w:r>
      <w:r>
        <w:rPr>
          <w:spacing w:val="38"/>
          <w:sz w:val="24"/>
          <w:u w:val="single"/>
        </w:rPr>
        <w:t> </w:t>
      </w:r>
      <w:r>
        <w:rPr>
          <w:sz w:val="24"/>
          <w:u w:val="single"/>
        </w:rPr>
        <w:t>diseñado</w:t>
      </w:r>
      <w:r>
        <w:rPr>
          <w:spacing w:val="40"/>
          <w:sz w:val="24"/>
          <w:u w:val="single"/>
        </w:rPr>
        <w:t> </w:t>
      </w:r>
      <w:r>
        <w:rPr>
          <w:sz w:val="24"/>
          <w:u w:val="single"/>
        </w:rPr>
        <w:t>y</w:t>
      </w:r>
      <w:r>
        <w:rPr>
          <w:spacing w:val="38"/>
          <w:sz w:val="24"/>
          <w:u w:val="single"/>
        </w:rPr>
        <w:t> </w:t>
      </w:r>
      <w:r>
        <w:rPr>
          <w:sz w:val="24"/>
          <w:u w:val="single"/>
        </w:rPr>
        <w:t>listo,</w:t>
      </w:r>
      <w:r>
        <w:rPr>
          <w:spacing w:val="36"/>
          <w:sz w:val="24"/>
          <w:u w:val="single"/>
        </w:rPr>
        <w:t> </w:t>
      </w:r>
      <w:r>
        <w:rPr>
          <w:sz w:val="24"/>
          <w:u w:val="single"/>
        </w:rPr>
        <w:t>para</w:t>
      </w:r>
      <w:r>
        <w:rPr>
          <w:spacing w:val="38"/>
          <w:sz w:val="24"/>
          <w:u w:val="single"/>
        </w:rPr>
        <w:t> </w:t>
      </w:r>
      <w:r>
        <w:rPr>
          <w:sz w:val="24"/>
          <w:u w:val="single"/>
        </w:rPr>
        <w:t>el</w:t>
      </w:r>
      <w:r>
        <w:rPr>
          <w:spacing w:val="37"/>
          <w:sz w:val="24"/>
          <w:u w:val="single"/>
        </w:rPr>
        <w:t> </w:t>
      </w:r>
      <w:r>
        <w:rPr>
          <w:sz w:val="24"/>
          <w:u w:val="single"/>
        </w:rPr>
        <w:t>monitoreo</w:t>
      </w:r>
      <w:r>
        <w:rPr>
          <w:spacing w:val="39"/>
          <w:sz w:val="24"/>
          <w:u w:val="single"/>
        </w:rPr>
        <w:t> </w:t>
      </w:r>
      <w:r>
        <w:rPr>
          <w:sz w:val="24"/>
          <w:u w:val="single"/>
        </w:rPr>
        <w:t>de</w:t>
      </w:r>
      <w:r>
        <w:rPr>
          <w:spacing w:val="40"/>
          <w:sz w:val="24"/>
          <w:u w:val="single"/>
        </w:rPr>
        <w:t> </w:t>
      </w:r>
      <w:r>
        <w:rPr>
          <w:sz w:val="24"/>
          <w:u w:val="single"/>
        </w:rPr>
        <w:t>los</w:t>
      </w:r>
      <w:r>
        <w:rPr>
          <w:spacing w:val="38"/>
          <w:sz w:val="24"/>
          <w:u w:val="single"/>
        </w:rPr>
        <w:t> </w:t>
      </w:r>
      <w:r>
        <w:rPr>
          <w:sz w:val="24"/>
          <w:u w:val="single"/>
        </w:rPr>
        <w:t>servicios</w:t>
      </w:r>
      <w:r>
        <w:rPr>
          <w:sz w:val="24"/>
          <w:u w:val="none"/>
        </w:rPr>
        <w:t> </w:t>
      </w:r>
      <w:r>
        <w:rPr>
          <w:sz w:val="24"/>
          <w:u w:val="single"/>
        </w:rPr>
        <w:t>institucionales desde la GpRD y el valor público.</w:t>
      </w:r>
    </w:p>
    <w:p>
      <w:pPr>
        <w:pStyle w:val="BodyText"/>
        <w:spacing w:before="10"/>
        <w:ind w:left="165"/>
      </w:pPr>
      <w:r>
        <w:rPr/>
        <w:t>que</w:t>
      </w:r>
      <w:r>
        <w:rPr>
          <w:spacing w:val="-5"/>
        </w:rPr>
        <w:t> </w:t>
      </w:r>
      <w:r>
        <w:rPr/>
        <w:t>está</w:t>
      </w:r>
      <w:r>
        <w:rPr>
          <w:spacing w:val="-4"/>
        </w:rPr>
        <w:t> </w:t>
      </w:r>
      <w:r>
        <w:rPr/>
        <w:t>vinculado</w:t>
      </w:r>
      <w:r>
        <w:rPr>
          <w:spacing w:val="-4"/>
        </w:rPr>
        <w:t> </w:t>
      </w:r>
      <w:r>
        <w:rPr>
          <w:spacing w:val="-5"/>
        </w:rPr>
        <w:t>al</w:t>
      </w:r>
    </w:p>
    <w:p>
      <w:pPr>
        <w:pStyle w:val="ListParagraph"/>
        <w:numPr>
          <w:ilvl w:val="1"/>
          <w:numId w:val="11"/>
        </w:numPr>
        <w:tabs>
          <w:tab w:pos="885" w:val="left" w:leader="none"/>
        </w:tabs>
        <w:spacing w:line="350" w:lineRule="auto" w:before="140" w:after="0"/>
        <w:ind w:left="885" w:right="395" w:hanging="360"/>
        <w:jc w:val="left"/>
        <w:rPr>
          <w:sz w:val="24"/>
        </w:rPr>
      </w:pPr>
      <w:r>
        <w:rPr>
          <w:sz w:val="24"/>
          <w:u w:val="single"/>
        </w:rPr>
        <w:t>E1</w:t>
      </w:r>
      <w:r>
        <w:rPr>
          <w:spacing w:val="40"/>
          <w:sz w:val="24"/>
          <w:u w:val="single"/>
        </w:rPr>
        <w:t> </w:t>
      </w:r>
      <w:r>
        <w:rPr>
          <w:sz w:val="24"/>
          <w:u w:val="single"/>
        </w:rPr>
        <w:t>AE4</w:t>
      </w:r>
      <w:r>
        <w:rPr>
          <w:spacing w:val="65"/>
          <w:sz w:val="24"/>
          <w:u w:val="single"/>
        </w:rPr>
        <w:t> </w:t>
      </w:r>
      <w:r>
        <w:rPr>
          <w:sz w:val="24"/>
          <w:u w:val="single"/>
        </w:rPr>
        <w:t>R1:</w:t>
      </w:r>
      <w:r>
        <w:rPr>
          <w:spacing w:val="40"/>
          <w:sz w:val="24"/>
          <w:u w:val="single"/>
        </w:rPr>
        <w:t> </w:t>
      </w:r>
      <w:r>
        <w:rPr>
          <w:sz w:val="24"/>
          <w:u w:val="single"/>
        </w:rPr>
        <w:t>Sistema</w:t>
      </w:r>
      <w:r>
        <w:rPr>
          <w:spacing w:val="40"/>
          <w:sz w:val="24"/>
          <w:u w:val="single"/>
        </w:rPr>
        <w:t> </w:t>
      </w:r>
      <w:r>
        <w:rPr>
          <w:sz w:val="24"/>
          <w:u w:val="single"/>
        </w:rPr>
        <w:t>de</w:t>
      </w:r>
      <w:r>
        <w:rPr>
          <w:spacing w:val="65"/>
          <w:sz w:val="24"/>
          <w:u w:val="single"/>
        </w:rPr>
        <w:t> </w:t>
      </w:r>
      <w:r>
        <w:rPr>
          <w:sz w:val="24"/>
          <w:u w:val="single"/>
        </w:rPr>
        <w:t>indicadores</w:t>
      </w:r>
      <w:r>
        <w:rPr>
          <w:spacing w:val="40"/>
          <w:sz w:val="24"/>
          <w:u w:val="single"/>
        </w:rPr>
        <w:t> </w:t>
      </w:r>
      <w:r>
        <w:rPr>
          <w:sz w:val="24"/>
          <w:u w:val="single"/>
        </w:rPr>
        <w:t>de</w:t>
      </w:r>
      <w:r>
        <w:rPr>
          <w:spacing w:val="65"/>
          <w:sz w:val="24"/>
          <w:u w:val="single"/>
        </w:rPr>
        <w:t> </w:t>
      </w:r>
      <w:r>
        <w:rPr>
          <w:sz w:val="24"/>
          <w:u w:val="single"/>
        </w:rPr>
        <w:t>resultados</w:t>
      </w:r>
      <w:r>
        <w:rPr>
          <w:spacing w:val="65"/>
          <w:sz w:val="24"/>
          <w:u w:val="single"/>
        </w:rPr>
        <w:t> </w:t>
      </w:r>
      <w:r>
        <w:rPr>
          <w:sz w:val="24"/>
          <w:u w:val="single"/>
        </w:rPr>
        <w:t>y</w:t>
      </w:r>
      <w:r>
        <w:rPr>
          <w:spacing w:val="65"/>
          <w:sz w:val="24"/>
          <w:u w:val="single"/>
        </w:rPr>
        <w:t> </w:t>
      </w:r>
      <w:r>
        <w:rPr>
          <w:sz w:val="24"/>
          <w:u w:val="single"/>
        </w:rPr>
        <w:t>de</w:t>
      </w:r>
      <w:r>
        <w:rPr>
          <w:spacing w:val="65"/>
          <w:sz w:val="24"/>
          <w:u w:val="single"/>
        </w:rPr>
        <w:t> </w:t>
      </w:r>
      <w:r>
        <w:rPr>
          <w:sz w:val="24"/>
          <w:u w:val="single"/>
        </w:rPr>
        <w:t>impacto</w:t>
      </w:r>
      <w:r>
        <w:rPr>
          <w:spacing w:val="65"/>
          <w:sz w:val="24"/>
          <w:u w:val="single"/>
        </w:rPr>
        <w:t> </w:t>
      </w:r>
      <w:r>
        <w:rPr>
          <w:sz w:val="24"/>
          <w:u w:val="single"/>
        </w:rPr>
        <w:t>de</w:t>
      </w:r>
      <w:r>
        <w:rPr>
          <w:spacing w:val="65"/>
          <w:sz w:val="24"/>
          <w:u w:val="single"/>
        </w:rPr>
        <w:t> </w:t>
      </w:r>
      <w:r>
        <w:rPr>
          <w:sz w:val="24"/>
          <w:u w:val="single"/>
        </w:rPr>
        <w:t>cada</w:t>
      </w:r>
      <w:r>
        <w:rPr>
          <w:spacing w:val="65"/>
          <w:sz w:val="24"/>
          <w:u w:val="single"/>
        </w:rPr>
        <w:t> </w:t>
      </w:r>
      <w:r>
        <w:rPr>
          <w:sz w:val="24"/>
          <w:u w:val="single"/>
        </w:rPr>
        <w:t>servicio</w:t>
      </w:r>
      <w:r>
        <w:rPr>
          <w:spacing w:val="65"/>
          <w:sz w:val="24"/>
          <w:u w:val="single"/>
        </w:rPr>
        <w:t> </w:t>
      </w:r>
      <w:r>
        <w:rPr>
          <w:sz w:val="24"/>
          <w:u w:val="single"/>
        </w:rPr>
        <w:t>de</w:t>
      </w:r>
      <w:r>
        <w:rPr>
          <w:sz w:val="24"/>
          <w:u w:val="none"/>
        </w:rPr>
        <w:t> </w:t>
      </w:r>
      <w:r>
        <w:rPr>
          <w:sz w:val="24"/>
          <w:u w:val="single"/>
        </w:rPr>
        <w:t>inversión social del IMAS, monitoreado desde el SINIRUBE.</w:t>
      </w:r>
      <w:r>
        <w:rPr>
          <w:spacing w:val="40"/>
          <w:sz w:val="24"/>
          <w:u w:val="single"/>
        </w:rPr>
        <w:t> </w:t>
      </w:r>
    </w:p>
    <w:p>
      <w:pPr>
        <w:pStyle w:val="BodyText"/>
        <w:spacing w:before="170"/>
        <w:ind w:left="165" w:right="383"/>
        <w:jc w:val="both"/>
      </w:pPr>
      <w:r>
        <w:rPr/>
        <w:t>El primero se ejecutaría con el POI-POGE 2024 mediante la actividad activa: “PAC 2.4.3.1:</w:t>
      </w:r>
      <w:r>
        <w:rPr>
          <w:spacing w:val="40"/>
        </w:rPr>
        <w:t> </w:t>
      </w:r>
      <w:r>
        <w:rPr/>
        <w:t>Diseñar e implementar un sistema de indicadores para el monitoreo de los servicios institucionales desde el GpRD y valor público”, pero se registró como limitación que hubo un atraso en diseño del sistema, por tener que revisar qué servicios institucionales cuentan con su teoría del programa.</w:t>
      </w:r>
    </w:p>
    <w:p>
      <w:pPr>
        <w:pStyle w:val="BodyText"/>
      </w:pPr>
    </w:p>
    <w:p>
      <w:pPr>
        <w:pStyle w:val="BodyText"/>
        <w:spacing w:before="1"/>
        <w:ind w:left="165" w:right="385"/>
        <w:jc w:val="both"/>
      </w:pPr>
      <w:r>
        <w:rPr/>
        <w:t>Lo anterior afectó el resultado E1 AE4 R1, que se materializaba en el POI-POGE 2024, con una única</w:t>
      </w:r>
      <w:r>
        <w:rPr>
          <w:spacing w:val="-2"/>
        </w:rPr>
        <w:t> </w:t>
      </w:r>
      <w:r>
        <w:rPr/>
        <w:t>actividad activa:</w:t>
      </w:r>
      <w:r>
        <w:rPr>
          <w:spacing w:val="-2"/>
        </w:rPr>
        <w:t> </w:t>
      </w:r>
      <w:r>
        <w:rPr/>
        <w:t>“PAC .4.13.1: Coordinación con</w:t>
      </w:r>
      <w:r>
        <w:rPr>
          <w:spacing w:val="-2"/>
        </w:rPr>
        <w:t> </w:t>
      </w:r>
      <w:r>
        <w:rPr/>
        <w:t>SGDS y</w:t>
      </w:r>
      <w:r>
        <w:rPr>
          <w:spacing w:val="-2"/>
        </w:rPr>
        <w:t> </w:t>
      </w:r>
      <w:r>
        <w:rPr/>
        <w:t>SINIRUBE para diseñar</w:t>
      </w:r>
      <w:r>
        <w:rPr>
          <w:spacing w:val="-2"/>
        </w:rPr>
        <w:t> </w:t>
      </w:r>
      <w:r>
        <w:rPr/>
        <w:t>un plan de monitoreo y seguimiento de los indicadores”.</w:t>
      </w:r>
    </w:p>
    <w:p>
      <w:pPr>
        <w:pStyle w:val="BodyText"/>
        <w:spacing w:before="139"/>
      </w:pPr>
    </w:p>
    <w:p>
      <w:pPr>
        <w:pStyle w:val="BodyText"/>
        <w:ind w:left="165" w:right="383"/>
        <w:jc w:val="both"/>
      </w:pPr>
      <w:r>
        <w:rPr/>
        <w:t>Ambas actividades del POI-POGE 2024, que alimentaban los resultados PEI antes señalados, se programaron para el mismo periodo, lo que trajo como consecuencia que al tener un atraso en la primera afecta la segunda.</w:t>
      </w:r>
    </w:p>
    <w:p>
      <w:pPr>
        <w:pStyle w:val="BodyText"/>
      </w:pPr>
    </w:p>
    <w:p>
      <w:pPr>
        <w:pStyle w:val="BodyText"/>
        <w:ind w:left="165" w:right="383"/>
        <w:jc w:val="both"/>
      </w:pPr>
      <w:r>
        <w:rPr/>
        <w:t>Lo que permite concluir que hubo un problema de programación en la trimestralización, donde no se consideró las actividades predecesoras para realizar la programación de los productos del POI-POGE vinculado a los resultados PEI, por ende, afecta el cumplimiento.</w:t>
      </w:r>
    </w:p>
    <w:p>
      <w:pPr>
        <w:pStyle w:val="BodyText"/>
      </w:pPr>
    </w:p>
    <w:p>
      <w:pPr>
        <w:pStyle w:val="BodyText"/>
        <w:ind w:left="165" w:right="384"/>
        <w:jc w:val="both"/>
      </w:pPr>
      <w:r>
        <w:rPr/>
        <w:t>Otra debilidad detectada en la ejecución del PEI al corte I semestre 2024, es un problema en la articulación entre unidades administrativas responsables y corresponsables, para el logro de una actividad programada en POI-POGE 2024, insumo de un resultado PEI.</w:t>
      </w:r>
    </w:p>
    <w:p>
      <w:pPr>
        <w:pStyle w:val="BodyText"/>
      </w:pPr>
    </w:p>
    <w:p>
      <w:pPr>
        <w:pStyle w:val="BodyText"/>
        <w:spacing w:before="1"/>
        <w:ind w:left="165"/>
      </w:pPr>
      <w:r>
        <w:rPr>
          <w:spacing w:val="-2"/>
        </w:rPr>
        <w:t>Ejemplo:</w:t>
      </w:r>
    </w:p>
    <w:p>
      <w:pPr>
        <w:pStyle w:val="BodyText"/>
        <w:spacing w:after="0"/>
        <w:sectPr>
          <w:headerReference w:type="default" r:id="rId65"/>
          <w:footerReference w:type="default" r:id="rId66"/>
          <w:pgSz w:w="13370" w:h="17280"/>
          <w:pgMar w:header="0" w:footer="915" w:top="340" w:bottom="1100" w:left="1275" w:right="992"/>
        </w:sectPr>
      </w:pPr>
    </w:p>
    <w:p>
      <w:pPr>
        <w:pStyle w:val="BodyText"/>
        <w:spacing w:line="360" w:lineRule="auto" w:before="72"/>
        <w:ind w:left="1017"/>
      </w:pPr>
      <w:r>
        <w:rPr>
          <w:u w:val="single"/>
        </w:rPr>
        <w:t>E1 AE4 R1: Planes y presupuestos de inversión social del IMAS, formulados con base en</w:t>
      </w:r>
      <w:r>
        <w:rPr>
          <w:u w:val="none"/>
        </w:rPr>
        <w:t> </w:t>
      </w:r>
      <w:r>
        <w:rPr>
          <w:u w:val="single"/>
        </w:rPr>
        <w:t>datos del SINIRUBE.</w:t>
      </w:r>
      <w:r>
        <w:rPr>
          <w:spacing w:val="40"/>
          <w:u w:val="single"/>
        </w:rPr>
        <w:t> </w:t>
      </w:r>
    </w:p>
    <w:p>
      <w:pPr>
        <w:pStyle w:val="BodyText"/>
        <w:spacing w:before="140"/>
      </w:pPr>
    </w:p>
    <w:p>
      <w:pPr>
        <w:pStyle w:val="BodyText"/>
        <w:ind w:left="165" w:right="380"/>
        <w:jc w:val="both"/>
      </w:pPr>
      <w:r>
        <w:rPr/>
        <w:t>” Este procedimiento no fue ajustado, es importante considerar que dicho procedimiento pertenece a</w:t>
      </w:r>
      <w:r>
        <w:rPr>
          <w:spacing w:val="-1"/>
        </w:rPr>
        <w:t> </w:t>
      </w:r>
      <w:r>
        <w:rPr/>
        <w:t>la</w:t>
      </w:r>
      <w:r>
        <w:rPr>
          <w:spacing w:val="-1"/>
        </w:rPr>
        <w:t> </w:t>
      </w:r>
      <w:r>
        <w:rPr/>
        <w:t>DDS</w:t>
      </w:r>
      <w:r>
        <w:rPr>
          <w:spacing w:val="-1"/>
        </w:rPr>
        <w:t> </w:t>
      </w:r>
      <w:r>
        <w:rPr/>
        <w:t>por</w:t>
      </w:r>
      <w:r>
        <w:rPr>
          <w:spacing w:val="-1"/>
        </w:rPr>
        <w:t> </w:t>
      </w:r>
      <w:r>
        <w:rPr/>
        <w:t>lo</w:t>
      </w:r>
      <w:r>
        <w:rPr>
          <w:spacing w:val="-1"/>
        </w:rPr>
        <w:t> </w:t>
      </w:r>
      <w:r>
        <w:rPr/>
        <w:t>que</w:t>
      </w:r>
      <w:r>
        <w:rPr>
          <w:spacing w:val="-3"/>
        </w:rPr>
        <w:t> </w:t>
      </w:r>
      <w:r>
        <w:rPr/>
        <w:t>Planificación</w:t>
      </w:r>
      <w:r>
        <w:rPr>
          <w:spacing w:val="-3"/>
        </w:rPr>
        <w:t> </w:t>
      </w:r>
      <w:r>
        <w:rPr/>
        <w:t>no</w:t>
      </w:r>
      <w:r>
        <w:rPr>
          <w:spacing w:val="-3"/>
        </w:rPr>
        <w:t> </w:t>
      </w:r>
      <w:r>
        <w:rPr/>
        <w:t>lo</w:t>
      </w:r>
      <w:r>
        <w:rPr>
          <w:spacing w:val="-1"/>
        </w:rPr>
        <w:t> </w:t>
      </w:r>
      <w:r>
        <w:rPr/>
        <w:t>puede</w:t>
      </w:r>
      <w:r>
        <w:rPr>
          <w:spacing w:val="-3"/>
        </w:rPr>
        <w:t> </w:t>
      </w:r>
      <w:r>
        <w:rPr/>
        <w:t>ajustar,</w:t>
      </w:r>
      <w:r>
        <w:rPr>
          <w:spacing w:val="-4"/>
        </w:rPr>
        <w:t> </w:t>
      </w:r>
      <w:r>
        <w:rPr/>
        <w:t>por</w:t>
      </w:r>
      <w:r>
        <w:rPr>
          <w:spacing w:val="-1"/>
        </w:rPr>
        <w:t> </w:t>
      </w:r>
      <w:r>
        <w:rPr/>
        <w:t>parte</w:t>
      </w:r>
      <w:r>
        <w:rPr>
          <w:spacing w:val="-3"/>
        </w:rPr>
        <w:t> </w:t>
      </w:r>
      <w:r>
        <w:rPr/>
        <w:t>de</w:t>
      </w:r>
      <w:r>
        <w:rPr>
          <w:spacing w:val="-1"/>
        </w:rPr>
        <w:t> </w:t>
      </w:r>
      <w:r>
        <w:rPr/>
        <w:t>Planificación le</w:t>
      </w:r>
      <w:r>
        <w:rPr>
          <w:spacing w:val="-1"/>
        </w:rPr>
        <w:t> </w:t>
      </w:r>
      <w:r>
        <w:rPr/>
        <w:t>solicitó</w:t>
      </w:r>
      <w:r>
        <w:rPr>
          <w:spacing w:val="-2"/>
        </w:rPr>
        <w:t> </w:t>
      </w:r>
      <w:r>
        <w:rPr/>
        <w:t>a</w:t>
      </w:r>
      <w:r>
        <w:rPr>
          <w:spacing w:val="-3"/>
        </w:rPr>
        <w:t> </w:t>
      </w:r>
      <w:r>
        <w:rPr/>
        <w:t>la</w:t>
      </w:r>
      <w:r>
        <w:rPr>
          <w:spacing w:val="-1"/>
        </w:rPr>
        <w:t> </w:t>
      </w:r>
      <w:r>
        <w:rPr/>
        <w:t>DDS trabajar en los ajustes al procedimiento, como respaldo se tienen los oficios IMAS-PE-PI-0051-2024,</w:t>
      </w:r>
      <w:r>
        <w:rPr>
          <w:spacing w:val="30"/>
        </w:rPr>
        <w:t>  </w:t>
      </w:r>
      <w:r>
        <w:rPr/>
        <w:t>IMAS-PE-PI-0097-2024,</w:t>
      </w:r>
      <w:r>
        <w:rPr>
          <w:spacing w:val="29"/>
        </w:rPr>
        <w:t>  </w:t>
      </w:r>
      <w:r>
        <w:rPr/>
        <w:t>IMAS-PE-PI-0098-2024,</w:t>
      </w:r>
      <w:r>
        <w:rPr>
          <w:spacing w:val="31"/>
        </w:rPr>
        <w:t>  </w:t>
      </w:r>
      <w:r>
        <w:rPr/>
        <w:t>IMAS-PE-PI-0099-2024,</w:t>
      </w:r>
      <w:r>
        <w:rPr>
          <w:spacing w:val="29"/>
        </w:rPr>
        <w:t>  </w:t>
      </w:r>
      <w:r>
        <w:rPr/>
        <w:t>IMAS-PE-</w:t>
      </w:r>
      <w:r>
        <w:rPr>
          <w:spacing w:val="-5"/>
        </w:rPr>
        <w:t>PI-</w:t>
      </w:r>
    </w:p>
    <w:p>
      <w:pPr>
        <w:pStyle w:val="BodyText"/>
        <w:ind w:left="165"/>
      </w:pPr>
      <w:r>
        <w:rPr/>
        <w:t>0119-2024,</w:t>
      </w:r>
      <w:r>
        <w:rPr>
          <w:spacing w:val="64"/>
        </w:rPr>
        <w:t> </w:t>
      </w:r>
      <w:r>
        <w:rPr/>
        <w:t>no</w:t>
      </w:r>
      <w:r>
        <w:rPr>
          <w:spacing w:val="68"/>
        </w:rPr>
        <w:t> </w:t>
      </w:r>
      <w:r>
        <w:rPr/>
        <w:t>obstante,</w:t>
      </w:r>
      <w:r>
        <w:rPr>
          <w:spacing w:val="67"/>
        </w:rPr>
        <w:t> </w:t>
      </w:r>
      <w:r>
        <w:rPr/>
        <w:t>por</w:t>
      </w:r>
      <w:r>
        <w:rPr>
          <w:spacing w:val="66"/>
        </w:rPr>
        <w:t> </w:t>
      </w:r>
      <w:r>
        <w:rPr/>
        <w:t>parte</w:t>
      </w:r>
      <w:r>
        <w:rPr>
          <w:spacing w:val="67"/>
        </w:rPr>
        <w:t> </w:t>
      </w:r>
      <w:r>
        <w:rPr/>
        <w:t>de</w:t>
      </w:r>
      <w:r>
        <w:rPr>
          <w:spacing w:val="68"/>
        </w:rPr>
        <w:t> </w:t>
      </w:r>
      <w:r>
        <w:rPr/>
        <w:t>la</w:t>
      </w:r>
      <w:r>
        <w:rPr>
          <w:spacing w:val="67"/>
        </w:rPr>
        <w:t> </w:t>
      </w:r>
      <w:r>
        <w:rPr/>
        <w:t>DDS</w:t>
      </w:r>
      <w:r>
        <w:rPr>
          <w:spacing w:val="69"/>
        </w:rPr>
        <w:t> </w:t>
      </w:r>
      <w:r>
        <w:rPr/>
        <w:t>no</w:t>
      </w:r>
      <w:r>
        <w:rPr>
          <w:spacing w:val="68"/>
        </w:rPr>
        <w:t> </w:t>
      </w:r>
      <w:r>
        <w:rPr/>
        <w:t>se</w:t>
      </w:r>
      <w:r>
        <w:rPr>
          <w:spacing w:val="68"/>
        </w:rPr>
        <w:t> </w:t>
      </w:r>
      <w:r>
        <w:rPr/>
        <w:t>realizó</w:t>
      </w:r>
      <w:r>
        <w:rPr>
          <w:spacing w:val="68"/>
        </w:rPr>
        <w:t> </w:t>
      </w:r>
      <w:r>
        <w:rPr/>
        <w:t>ninguna</w:t>
      </w:r>
      <w:r>
        <w:rPr>
          <w:spacing w:val="67"/>
        </w:rPr>
        <w:t> </w:t>
      </w:r>
      <w:r>
        <w:rPr/>
        <w:t>gestión</w:t>
      </w:r>
      <w:r>
        <w:rPr>
          <w:spacing w:val="67"/>
        </w:rPr>
        <w:t> </w:t>
      </w:r>
      <w:r>
        <w:rPr/>
        <w:t>para</w:t>
      </w:r>
      <w:r>
        <w:rPr>
          <w:spacing w:val="67"/>
        </w:rPr>
        <w:t> </w:t>
      </w:r>
      <w:r>
        <w:rPr/>
        <w:t>justes</w:t>
      </w:r>
      <w:r>
        <w:rPr>
          <w:spacing w:val="67"/>
        </w:rPr>
        <w:t> </w:t>
      </w:r>
      <w:r>
        <w:rPr>
          <w:spacing w:val="-5"/>
        </w:rPr>
        <w:t>al</w:t>
      </w:r>
    </w:p>
    <w:p>
      <w:pPr>
        <w:pStyle w:val="BodyText"/>
        <w:ind w:left="165"/>
      </w:pPr>
      <w:r>
        <w:rPr>
          <w:spacing w:val="-2"/>
        </w:rPr>
        <w:t>procedimiento”</w:t>
      </w:r>
    </w:p>
    <w:p>
      <w:pPr>
        <w:pStyle w:val="BodyText"/>
      </w:pPr>
    </w:p>
    <w:p>
      <w:pPr>
        <w:pStyle w:val="Heading5"/>
        <w:numPr>
          <w:ilvl w:val="0"/>
          <w:numId w:val="11"/>
        </w:numPr>
        <w:tabs>
          <w:tab w:pos="444" w:val="left" w:leader="none"/>
        </w:tabs>
        <w:spacing w:line="240" w:lineRule="auto" w:before="0" w:after="0"/>
        <w:ind w:left="444" w:right="0" w:hanging="279"/>
        <w:jc w:val="left"/>
      </w:pPr>
      <w:r>
        <w:rPr/>
        <w:t>Gestión</w:t>
      </w:r>
      <w:r>
        <w:rPr>
          <w:spacing w:val="-3"/>
        </w:rPr>
        <w:t> </w:t>
      </w:r>
      <w:r>
        <w:rPr/>
        <w:t>del</w:t>
      </w:r>
      <w:r>
        <w:rPr>
          <w:spacing w:val="-3"/>
        </w:rPr>
        <w:t> </w:t>
      </w:r>
      <w:r>
        <w:rPr/>
        <w:t>desarrollo</w:t>
      </w:r>
      <w:r>
        <w:rPr>
          <w:spacing w:val="-2"/>
        </w:rPr>
        <w:t> </w:t>
      </w:r>
      <w:r>
        <w:rPr/>
        <w:t>con</w:t>
      </w:r>
      <w:r>
        <w:rPr>
          <w:spacing w:val="-3"/>
        </w:rPr>
        <w:t> </w:t>
      </w:r>
      <w:r>
        <w:rPr/>
        <w:t>enfoque</w:t>
      </w:r>
      <w:r>
        <w:rPr>
          <w:spacing w:val="-2"/>
        </w:rPr>
        <w:t> interseccional</w:t>
      </w:r>
    </w:p>
    <w:p>
      <w:pPr>
        <w:pStyle w:val="BodyText"/>
        <w:rPr>
          <w:b/>
        </w:rPr>
      </w:pPr>
    </w:p>
    <w:p>
      <w:pPr>
        <w:pStyle w:val="BodyText"/>
        <w:spacing w:before="1"/>
        <w:ind w:left="165" w:right="431"/>
      </w:pPr>
      <w:r>
        <w:rPr/>
        <w:t>Para el I semestre 2024, se tiene 4 resultados activos, 3 de los cuales se ubican en una categoría de acuerdo con lo programado, como se aprecia en el siguiente cuadro:</w:t>
      </w:r>
    </w:p>
    <w:p>
      <w:pPr>
        <w:pStyle w:val="BodyText"/>
      </w:pPr>
    </w:p>
    <w:p>
      <w:pPr>
        <w:pStyle w:val="Heading5"/>
        <w:ind w:left="216" w:right="437"/>
        <w:jc w:val="center"/>
      </w:pPr>
      <w:r>
        <w:rPr/>
        <w:t>Cuadro</w:t>
      </w:r>
      <w:r>
        <w:rPr>
          <w:spacing w:val="-1"/>
        </w:rPr>
        <w:t> </w:t>
      </w:r>
      <w:r>
        <w:rPr/>
        <w:t>#</w:t>
      </w:r>
      <w:r>
        <w:rPr>
          <w:spacing w:val="2"/>
        </w:rPr>
        <w:t> </w:t>
      </w:r>
      <w:r>
        <w:rPr>
          <w:spacing w:val="-10"/>
        </w:rPr>
        <w:t>2</w:t>
      </w:r>
    </w:p>
    <w:p>
      <w:pPr>
        <w:pStyle w:val="BodyText"/>
        <w:rPr>
          <w:b/>
        </w:rPr>
      </w:pPr>
    </w:p>
    <w:p>
      <w:pPr>
        <w:pStyle w:val="Heading5"/>
        <w:ind w:left="211" w:right="437"/>
        <w:jc w:val="center"/>
      </w:pPr>
      <w:r>
        <w:rPr/>
        <w:t>Resultados</w:t>
      </w:r>
      <w:r>
        <w:rPr>
          <w:spacing w:val="-4"/>
        </w:rPr>
        <w:t> </w:t>
      </w:r>
      <w:r>
        <w:rPr/>
        <w:t>activos</w:t>
      </w:r>
      <w:r>
        <w:rPr>
          <w:spacing w:val="-2"/>
        </w:rPr>
        <w:t> </w:t>
      </w:r>
      <w:r>
        <w:rPr/>
        <w:t>en</w:t>
      </w:r>
      <w:r>
        <w:rPr>
          <w:spacing w:val="-2"/>
        </w:rPr>
        <w:t> </w:t>
      </w:r>
      <w:r>
        <w:rPr/>
        <w:t>el</w:t>
      </w:r>
      <w:r>
        <w:rPr>
          <w:spacing w:val="-2"/>
        </w:rPr>
        <w:t> </w:t>
      </w:r>
      <w:r>
        <w:rPr/>
        <w:t>Eje</w:t>
      </w:r>
      <w:r>
        <w:rPr>
          <w:spacing w:val="-2"/>
        </w:rPr>
        <w:t> </w:t>
      </w:r>
      <w:r>
        <w:rPr/>
        <w:t>Estratégico</w:t>
      </w:r>
      <w:r>
        <w:rPr>
          <w:spacing w:val="-5"/>
        </w:rPr>
        <w:t> </w:t>
      </w:r>
      <w:r>
        <w:rPr/>
        <w:t>2-</w:t>
      </w:r>
      <w:r>
        <w:rPr>
          <w:spacing w:val="-3"/>
        </w:rPr>
        <w:t> </w:t>
      </w:r>
      <w:r>
        <w:rPr/>
        <w:t>Gestión</w:t>
      </w:r>
      <w:r>
        <w:rPr>
          <w:spacing w:val="-2"/>
        </w:rPr>
        <w:t> </w:t>
      </w:r>
      <w:r>
        <w:rPr/>
        <w:t>del</w:t>
      </w:r>
      <w:r>
        <w:rPr>
          <w:spacing w:val="-4"/>
        </w:rPr>
        <w:t> </w:t>
      </w:r>
      <w:r>
        <w:rPr/>
        <w:t>desarrollo</w:t>
      </w:r>
      <w:r>
        <w:rPr>
          <w:spacing w:val="-2"/>
        </w:rPr>
        <w:t> </w:t>
      </w:r>
      <w:r>
        <w:rPr/>
        <w:t>con</w:t>
      </w:r>
      <w:r>
        <w:rPr>
          <w:spacing w:val="-2"/>
        </w:rPr>
        <w:t> </w:t>
      </w:r>
      <w:r>
        <w:rPr/>
        <w:t>enfoque </w:t>
      </w:r>
      <w:r>
        <w:rPr>
          <w:spacing w:val="-2"/>
        </w:rPr>
        <w:t>interseccional,</w:t>
      </w:r>
    </w:p>
    <w:p>
      <w:pPr>
        <w:pStyle w:val="Heading5"/>
        <w:ind w:left="211" w:right="437"/>
        <w:jc w:val="center"/>
      </w:pPr>
      <w:r>
        <w:rPr/>
        <w:t>según</w:t>
      </w:r>
      <w:r>
        <w:rPr>
          <w:spacing w:val="-3"/>
        </w:rPr>
        <w:t> </w:t>
      </w:r>
      <w:r>
        <w:rPr/>
        <w:t>porcentaje</w:t>
      </w:r>
      <w:r>
        <w:rPr>
          <w:spacing w:val="-3"/>
        </w:rPr>
        <w:t> </w:t>
      </w:r>
      <w:r>
        <w:rPr/>
        <w:t>avance</w:t>
      </w:r>
      <w:r>
        <w:rPr>
          <w:spacing w:val="-3"/>
        </w:rPr>
        <w:t> </w:t>
      </w:r>
      <w:r>
        <w:rPr/>
        <w:t>al</w:t>
      </w:r>
      <w:r>
        <w:rPr>
          <w:spacing w:val="-4"/>
        </w:rPr>
        <w:t> </w:t>
      </w:r>
      <w:r>
        <w:rPr/>
        <w:t>I</w:t>
      </w:r>
      <w:r>
        <w:rPr>
          <w:spacing w:val="-4"/>
        </w:rPr>
        <w:t> </w:t>
      </w:r>
      <w:r>
        <w:rPr/>
        <w:t>semestre</w:t>
      </w:r>
      <w:r>
        <w:rPr>
          <w:spacing w:val="-2"/>
        </w:rPr>
        <w:t> </w:t>
      </w:r>
      <w:r>
        <w:rPr>
          <w:spacing w:val="-4"/>
        </w:rPr>
        <w:t>2024</w:t>
      </w:r>
    </w:p>
    <w:p>
      <w:pPr>
        <w:pStyle w:val="BodyText"/>
        <w:rPr>
          <w:b/>
          <w:sz w:val="20"/>
        </w:rPr>
      </w:pPr>
    </w:p>
    <w:p>
      <w:pPr>
        <w:pStyle w:val="BodyText"/>
        <w:spacing w:before="91"/>
        <w:rPr>
          <w:b/>
          <w:sz w:val="20"/>
        </w:rPr>
      </w:pPr>
    </w:p>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484"/>
        <w:gridCol w:w="3013"/>
        <w:gridCol w:w="3263"/>
      </w:tblGrid>
      <w:tr>
        <w:trPr>
          <w:trHeight w:val="757" w:hRule="atLeast"/>
        </w:trPr>
        <w:tc>
          <w:tcPr>
            <w:tcW w:w="4484" w:type="dxa"/>
            <w:tcBorders>
              <w:bottom w:val="single" w:sz="18" w:space="0" w:color="000000"/>
            </w:tcBorders>
          </w:tcPr>
          <w:p>
            <w:pPr>
              <w:pStyle w:val="TableParagraph"/>
              <w:ind w:left="1146"/>
              <w:rPr>
                <w:rFonts w:ascii="Arial"/>
                <w:b/>
                <w:sz w:val="24"/>
              </w:rPr>
            </w:pPr>
            <w:r>
              <w:rPr>
                <w:rFonts w:ascii="Arial"/>
                <w:b/>
                <w:sz w:val="24"/>
              </w:rPr>
              <w:t>Resultados</w:t>
            </w:r>
            <w:r>
              <w:rPr>
                <w:rFonts w:ascii="Arial"/>
                <w:b/>
                <w:spacing w:val="-9"/>
                <w:sz w:val="24"/>
              </w:rPr>
              <w:t> </w:t>
            </w:r>
            <w:r>
              <w:rPr>
                <w:rFonts w:ascii="Arial"/>
                <w:b/>
                <w:spacing w:val="-2"/>
                <w:sz w:val="24"/>
              </w:rPr>
              <w:t>activos</w:t>
            </w:r>
          </w:p>
        </w:tc>
        <w:tc>
          <w:tcPr>
            <w:tcW w:w="3013" w:type="dxa"/>
            <w:tcBorders>
              <w:bottom w:val="single" w:sz="18" w:space="0" w:color="000000"/>
            </w:tcBorders>
          </w:tcPr>
          <w:p>
            <w:pPr>
              <w:pStyle w:val="TableParagraph"/>
              <w:ind w:left="18" w:right="2"/>
              <w:jc w:val="center"/>
              <w:rPr>
                <w:rFonts w:ascii="Arial"/>
                <w:b/>
                <w:sz w:val="24"/>
              </w:rPr>
            </w:pPr>
            <w:r>
              <w:rPr>
                <w:rFonts w:ascii="Arial"/>
                <w:b/>
                <w:spacing w:val="-2"/>
                <w:sz w:val="24"/>
              </w:rPr>
              <w:t>Responsable</w:t>
            </w:r>
          </w:p>
        </w:tc>
        <w:tc>
          <w:tcPr>
            <w:tcW w:w="3263" w:type="dxa"/>
            <w:tcBorders>
              <w:bottom w:val="single" w:sz="18" w:space="0" w:color="000000"/>
            </w:tcBorders>
          </w:tcPr>
          <w:p>
            <w:pPr>
              <w:pStyle w:val="TableParagraph"/>
              <w:ind w:left="17" w:right="2"/>
              <w:jc w:val="center"/>
              <w:rPr>
                <w:rFonts w:ascii="Arial"/>
                <w:b/>
                <w:sz w:val="22"/>
              </w:rPr>
            </w:pPr>
            <w:r>
              <w:rPr>
                <w:rFonts w:ascii="Arial"/>
                <w:b/>
                <w:sz w:val="22"/>
              </w:rPr>
              <w:t>Porcentaje</w:t>
            </w:r>
            <w:r>
              <w:rPr>
                <w:rFonts w:ascii="Arial"/>
                <w:b/>
                <w:spacing w:val="-10"/>
                <w:sz w:val="22"/>
              </w:rPr>
              <w:t> </w:t>
            </w:r>
            <w:r>
              <w:rPr>
                <w:rFonts w:ascii="Arial"/>
                <w:b/>
                <w:sz w:val="22"/>
              </w:rPr>
              <w:t>de</w:t>
            </w:r>
            <w:r>
              <w:rPr>
                <w:rFonts w:ascii="Arial"/>
                <w:b/>
                <w:spacing w:val="-8"/>
                <w:sz w:val="22"/>
              </w:rPr>
              <w:t> </w:t>
            </w:r>
            <w:r>
              <w:rPr>
                <w:rFonts w:ascii="Arial"/>
                <w:b/>
                <w:sz w:val="22"/>
              </w:rPr>
              <w:t>avance</w:t>
            </w:r>
            <w:r>
              <w:rPr>
                <w:rFonts w:ascii="Arial"/>
                <w:b/>
                <w:spacing w:val="-10"/>
                <w:sz w:val="22"/>
              </w:rPr>
              <w:t> </w:t>
            </w:r>
            <w:r>
              <w:rPr>
                <w:rFonts w:ascii="Arial"/>
                <w:b/>
                <w:sz w:val="22"/>
              </w:rPr>
              <w:t>para</w:t>
            </w:r>
            <w:r>
              <w:rPr>
                <w:rFonts w:ascii="Arial"/>
                <w:b/>
                <w:spacing w:val="-8"/>
                <w:sz w:val="22"/>
              </w:rPr>
              <w:t> </w:t>
            </w:r>
            <w:r>
              <w:rPr>
                <w:rFonts w:ascii="Arial"/>
                <w:b/>
                <w:sz w:val="22"/>
              </w:rPr>
              <w:t>el periodo I semestre del PEI</w:t>
            </w:r>
          </w:p>
          <w:p>
            <w:pPr>
              <w:pStyle w:val="TableParagraph"/>
              <w:spacing w:line="231" w:lineRule="exact"/>
              <w:ind w:left="17" w:right="1"/>
              <w:jc w:val="center"/>
              <w:rPr>
                <w:rFonts w:ascii="Arial"/>
                <w:b/>
                <w:sz w:val="22"/>
              </w:rPr>
            </w:pPr>
            <w:r>
              <w:rPr>
                <w:rFonts w:ascii="Arial"/>
                <w:b/>
                <w:spacing w:val="-2"/>
                <w:sz w:val="22"/>
              </w:rPr>
              <w:t>2023-2028.</w:t>
            </w:r>
          </w:p>
        </w:tc>
      </w:tr>
      <w:tr>
        <w:trPr>
          <w:trHeight w:val="277" w:hRule="atLeast"/>
        </w:trPr>
        <w:tc>
          <w:tcPr>
            <w:tcW w:w="4484" w:type="dxa"/>
            <w:tcBorders>
              <w:top w:val="single" w:sz="18" w:space="0" w:color="000000"/>
            </w:tcBorders>
            <w:shd w:val="clear" w:color="auto" w:fill="C0C0C0"/>
          </w:tcPr>
          <w:p>
            <w:pPr>
              <w:pStyle w:val="TableParagraph"/>
              <w:rPr>
                <w:sz w:val="20"/>
              </w:rPr>
            </w:pPr>
          </w:p>
        </w:tc>
        <w:tc>
          <w:tcPr>
            <w:tcW w:w="3013" w:type="dxa"/>
            <w:tcBorders>
              <w:top w:val="single" w:sz="18" w:space="0" w:color="000000"/>
            </w:tcBorders>
            <w:shd w:val="clear" w:color="auto" w:fill="C0C0C0"/>
          </w:tcPr>
          <w:p>
            <w:pPr>
              <w:pStyle w:val="TableParagraph"/>
              <w:rPr>
                <w:sz w:val="20"/>
              </w:rPr>
            </w:pPr>
          </w:p>
        </w:tc>
        <w:tc>
          <w:tcPr>
            <w:tcW w:w="3263" w:type="dxa"/>
            <w:tcBorders>
              <w:top w:val="single" w:sz="18" w:space="0" w:color="000000"/>
            </w:tcBorders>
            <w:shd w:val="clear" w:color="auto" w:fill="C0C0C0"/>
          </w:tcPr>
          <w:p>
            <w:pPr>
              <w:pStyle w:val="TableParagraph"/>
              <w:rPr>
                <w:sz w:val="20"/>
              </w:rPr>
            </w:pPr>
          </w:p>
        </w:tc>
      </w:tr>
      <w:tr>
        <w:trPr>
          <w:trHeight w:val="1770" w:hRule="atLeast"/>
        </w:trPr>
        <w:tc>
          <w:tcPr>
            <w:tcW w:w="4484" w:type="dxa"/>
          </w:tcPr>
          <w:p>
            <w:pPr>
              <w:pStyle w:val="TableParagraph"/>
              <w:ind w:left="107" w:right="84"/>
              <w:jc w:val="both"/>
              <w:rPr>
                <w:rFonts w:ascii="Arial" w:hAnsi="Arial"/>
                <w:sz w:val="22"/>
              </w:rPr>
            </w:pPr>
            <w:r>
              <w:rPr>
                <w:rFonts w:ascii="Arial" w:hAnsi="Arial"/>
                <w:sz w:val="22"/>
              </w:rPr>
              <w:t>2.6.1 Normativa y/o lineamientos en</w:t>
            </w:r>
            <w:r>
              <w:rPr>
                <w:rFonts w:ascii="Arial" w:hAnsi="Arial"/>
                <w:spacing w:val="40"/>
                <w:sz w:val="22"/>
              </w:rPr>
              <w:t> </w:t>
            </w:r>
            <w:r>
              <w:rPr>
                <w:rFonts w:ascii="Arial" w:hAnsi="Arial"/>
                <w:sz w:val="22"/>
              </w:rPr>
              <w:t>materia de personas adultas en situación de dependencia diseñados e implementados en la institución, a fin de</w:t>
            </w:r>
            <w:r>
              <w:rPr>
                <w:rFonts w:ascii="Arial" w:hAnsi="Arial"/>
                <w:spacing w:val="40"/>
                <w:sz w:val="22"/>
              </w:rPr>
              <w:t> </w:t>
            </w:r>
            <w:r>
              <w:rPr>
                <w:rFonts w:ascii="Arial" w:hAnsi="Arial"/>
                <w:sz w:val="22"/>
              </w:rPr>
              <w:t>dar</w:t>
            </w:r>
            <w:r>
              <w:rPr>
                <w:rFonts w:ascii="Arial" w:hAnsi="Arial"/>
                <w:spacing w:val="-3"/>
                <w:sz w:val="22"/>
              </w:rPr>
              <w:t> </w:t>
            </w:r>
            <w:r>
              <w:rPr>
                <w:rFonts w:ascii="Arial" w:hAnsi="Arial"/>
                <w:sz w:val="22"/>
              </w:rPr>
              <w:t>cumplimiento</w:t>
            </w:r>
            <w:r>
              <w:rPr>
                <w:rFonts w:ascii="Arial" w:hAnsi="Arial"/>
                <w:spacing w:val="-4"/>
                <w:sz w:val="22"/>
              </w:rPr>
              <w:t> </w:t>
            </w:r>
            <w:r>
              <w:rPr>
                <w:rFonts w:ascii="Arial" w:hAnsi="Arial"/>
                <w:sz w:val="22"/>
              </w:rPr>
              <w:t>a</w:t>
            </w:r>
            <w:r>
              <w:rPr>
                <w:rFonts w:ascii="Arial" w:hAnsi="Arial"/>
                <w:spacing w:val="-4"/>
                <w:sz w:val="22"/>
              </w:rPr>
              <w:t> </w:t>
            </w:r>
            <w:r>
              <w:rPr>
                <w:rFonts w:ascii="Arial" w:hAnsi="Arial"/>
                <w:sz w:val="22"/>
              </w:rPr>
              <w:t>la</w:t>
            </w:r>
            <w:r>
              <w:rPr>
                <w:rFonts w:ascii="Arial" w:hAnsi="Arial"/>
                <w:spacing w:val="-4"/>
                <w:sz w:val="22"/>
              </w:rPr>
              <w:t> </w:t>
            </w:r>
            <w:r>
              <w:rPr>
                <w:rFonts w:ascii="Arial" w:hAnsi="Arial"/>
                <w:sz w:val="22"/>
              </w:rPr>
              <w:t>política</w:t>
            </w:r>
            <w:r>
              <w:rPr>
                <w:rFonts w:ascii="Arial" w:hAnsi="Arial"/>
                <w:spacing w:val="-4"/>
                <w:sz w:val="22"/>
              </w:rPr>
              <w:t> </w:t>
            </w:r>
            <w:r>
              <w:rPr>
                <w:rFonts w:ascii="Arial" w:hAnsi="Arial"/>
                <w:sz w:val="22"/>
              </w:rPr>
              <w:t>en</w:t>
            </w:r>
            <w:r>
              <w:rPr>
                <w:rFonts w:ascii="Arial" w:hAnsi="Arial"/>
                <w:spacing w:val="-4"/>
                <w:sz w:val="22"/>
              </w:rPr>
              <w:t> </w:t>
            </w:r>
            <w:r>
              <w:rPr>
                <w:rFonts w:ascii="Arial" w:hAnsi="Arial"/>
                <w:sz w:val="22"/>
              </w:rPr>
              <w:t>materia</w:t>
            </w:r>
            <w:r>
              <w:rPr>
                <w:rFonts w:ascii="Arial" w:hAnsi="Arial"/>
                <w:spacing w:val="-4"/>
                <w:sz w:val="22"/>
              </w:rPr>
              <w:t> </w:t>
            </w:r>
            <w:r>
              <w:rPr>
                <w:rFonts w:ascii="Arial" w:hAnsi="Arial"/>
                <w:sz w:val="22"/>
              </w:rPr>
              <w:t>de cuidados</w:t>
            </w:r>
            <w:r>
              <w:rPr>
                <w:rFonts w:ascii="Arial" w:hAnsi="Arial"/>
                <w:spacing w:val="3"/>
                <w:sz w:val="22"/>
              </w:rPr>
              <w:t> </w:t>
            </w:r>
            <w:r>
              <w:rPr>
                <w:rFonts w:ascii="Arial" w:hAnsi="Arial"/>
                <w:sz w:val="22"/>
              </w:rPr>
              <w:t>y</w:t>
            </w:r>
            <w:r>
              <w:rPr>
                <w:rFonts w:ascii="Arial" w:hAnsi="Arial"/>
                <w:spacing w:val="6"/>
                <w:sz w:val="22"/>
              </w:rPr>
              <w:t> </w:t>
            </w:r>
            <w:r>
              <w:rPr>
                <w:rFonts w:ascii="Arial" w:hAnsi="Arial"/>
                <w:sz w:val="22"/>
              </w:rPr>
              <w:t>apoyos</w:t>
            </w:r>
            <w:r>
              <w:rPr>
                <w:rFonts w:ascii="Arial" w:hAnsi="Arial"/>
                <w:spacing w:val="4"/>
                <w:sz w:val="22"/>
              </w:rPr>
              <w:t> </w:t>
            </w:r>
            <w:r>
              <w:rPr>
                <w:rFonts w:ascii="Arial" w:hAnsi="Arial"/>
                <w:sz w:val="22"/>
              </w:rPr>
              <w:t>de</w:t>
            </w:r>
            <w:r>
              <w:rPr>
                <w:rFonts w:ascii="Arial" w:hAnsi="Arial"/>
                <w:spacing w:val="5"/>
                <w:sz w:val="22"/>
              </w:rPr>
              <w:t> </w:t>
            </w:r>
            <w:r>
              <w:rPr>
                <w:rFonts w:ascii="Arial" w:hAnsi="Arial"/>
                <w:sz w:val="22"/>
              </w:rPr>
              <w:t>las</w:t>
            </w:r>
            <w:r>
              <w:rPr>
                <w:rFonts w:ascii="Arial" w:hAnsi="Arial"/>
                <w:spacing w:val="6"/>
                <w:sz w:val="22"/>
              </w:rPr>
              <w:t> </w:t>
            </w:r>
            <w:r>
              <w:rPr>
                <w:rFonts w:ascii="Arial" w:hAnsi="Arial"/>
                <w:sz w:val="22"/>
              </w:rPr>
              <w:t>personas</w:t>
            </w:r>
            <w:r>
              <w:rPr>
                <w:rFonts w:ascii="Arial" w:hAnsi="Arial"/>
                <w:spacing w:val="4"/>
                <w:sz w:val="22"/>
              </w:rPr>
              <w:t> </w:t>
            </w:r>
            <w:r>
              <w:rPr>
                <w:rFonts w:ascii="Arial" w:hAnsi="Arial"/>
                <w:spacing w:val="-2"/>
                <w:sz w:val="22"/>
              </w:rPr>
              <w:t>adultas</w:t>
            </w:r>
          </w:p>
          <w:p>
            <w:pPr>
              <w:pStyle w:val="TableParagraph"/>
              <w:spacing w:line="232" w:lineRule="exact" w:before="1"/>
              <w:ind w:left="107"/>
              <w:jc w:val="both"/>
              <w:rPr>
                <w:rFonts w:ascii="Arial" w:hAnsi="Arial"/>
                <w:sz w:val="22"/>
              </w:rPr>
            </w:pPr>
            <w:r>
              <w:rPr>
                <w:rFonts w:ascii="Arial" w:hAnsi="Arial"/>
                <w:sz w:val="22"/>
              </w:rPr>
              <w:t>en</w:t>
            </w:r>
            <w:r>
              <w:rPr>
                <w:rFonts w:ascii="Arial" w:hAnsi="Arial"/>
                <w:spacing w:val="-4"/>
                <w:sz w:val="22"/>
              </w:rPr>
              <w:t> </w:t>
            </w:r>
            <w:r>
              <w:rPr>
                <w:rFonts w:ascii="Arial" w:hAnsi="Arial"/>
                <w:sz w:val="22"/>
              </w:rPr>
              <w:t>situación</w:t>
            </w:r>
            <w:r>
              <w:rPr>
                <w:rFonts w:ascii="Arial" w:hAnsi="Arial"/>
                <w:spacing w:val="-4"/>
                <w:sz w:val="22"/>
              </w:rPr>
              <w:t> </w:t>
            </w:r>
            <w:r>
              <w:rPr>
                <w:rFonts w:ascii="Arial" w:hAnsi="Arial"/>
                <w:sz w:val="22"/>
              </w:rPr>
              <w:t>de</w:t>
            </w:r>
            <w:r>
              <w:rPr>
                <w:rFonts w:ascii="Arial" w:hAnsi="Arial"/>
                <w:spacing w:val="-5"/>
                <w:sz w:val="22"/>
              </w:rPr>
              <w:t> </w:t>
            </w:r>
            <w:r>
              <w:rPr>
                <w:rFonts w:ascii="Arial" w:hAnsi="Arial"/>
                <w:spacing w:val="-2"/>
                <w:sz w:val="22"/>
              </w:rPr>
              <w:t>dependencia</w:t>
            </w:r>
          </w:p>
        </w:tc>
        <w:tc>
          <w:tcPr>
            <w:tcW w:w="3013" w:type="dxa"/>
          </w:tcPr>
          <w:p>
            <w:pPr>
              <w:pStyle w:val="TableParagraph"/>
              <w:ind w:left="18" w:right="2"/>
              <w:jc w:val="center"/>
              <w:rPr>
                <w:rFonts w:ascii="Arial"/>
                <w:sz w:val="24"/>
              </w:rPr>
            </w:pPr>
            <w:r>
              <w:rPr>
                <w:rFonts w:ascii="Arial"/>
                <w:spacing w:val="-2"/>
                <w:sz w:val="24"/>
              </w:rPr>
              <w:t>DAII-</w:t>
            </w:r>
            <w:r>
              <w:rPr>
                <w:rFonts w:ascii="Arial"/>
                <w:spacing w:val="-5"/>
                <w:sz w:val="24"/>
              </w:rPr>
              <w:t>DBF</w:t>
            </w:r>
          </w:p>
        </w:tc>
        <w:tc>
          <w:tcPr>
            <w:tcW w:w="3263" w:type="dxa"/>
          </w:tcPr>
          <w:p>
            <w:pPr>
              <w:pStyle w:val="TableParagraph"/>
              <w:ind w:left="17"/>
              <w:jc w:val="center"/>
              <w:rPr>
                <w:rFonts w:ascii="Arial"/>
                <w:sz w:val="24"/>
              </w:rPr>
            </w:pPr>
            <w:r>
              <w:rPr>
                <w:rFonts w:ascii="Arial"/>
                <w:spacing w:val="-4"/>
                <w:sz w:val="24"/>
              </w:rPr>
              <w:t>100%</w:t>
            </w:r>
          </w:p>
        </w:tc>
      </w:tr>
      <w:tr>
        <w:trPr>
          <w:trHeight w:val="1267" w:hRule="atLeast"/>
        </w:trPr>
        <w:tc>
          <w:tcPr>
            <w:tcW w:w="4484" w:type="dxa"/>
            <w:shd w:val="clear" w:color="auto" w:fill="C0C0C0"/>
          </w:tcPr>
          <w:p>
            <w:pPr>
              <w:pStyle w:val="TableParagraph"/>
              <w:ind w:left="107" w:right="83"/>
              <w:jc w:val="both"/>
              <w:rPr>
                <w:rFonts w:ascii="Arial" w:hAnsi="Arial"/>
                <w:sz w:val="22"/>
              </w:rPr>
            </w:pPr>
            <w:r>
              <w:rPr>
                <w:rFonts w:ascii="Arial" w:hAnsi="Arial"/>
                <w:sz w:val="22"/>
              </w:rPr>
              <w:t>2.6.2 Instrumento del Baremo de la Dependencia diseñado, aprobado e implementado,</w:t>
            </w:r>
            <w:r>
              <w:rPr>
                <w:rFonts w:ascii="Arial" w:hAnsi="Arial"/>
                <w:spacing w:val="48"/>
                <w:sz w:val="22"/>
              </w:rPr>
              <w:t> </w:t>
            </w:r>
            <w:r>
              <w:rPr>
                <w:rFonts w:ascii="Arial" w:hAnsi="Arial"/>
                <w:sz w:val="22"/>
              </w:rPr>
              <w:t>a</w:t>
            </w:r>
            <w:r>
              <w:rPr>
                <w:rFonts w:ascii="Arial" w:hAnsi="Arial"/>
                <w:spacing w:val="50"/>
                <w:sz w:val="22"/>
              </w:rPr>
              <w:t> </w:t>
            </w:r>
            <w:r>
              <w:rPr>
                <w:rFonts w:ascii="Arial" w:hAnsi="Arial"/>
                <w:sz w:val="22"/>
              </w:rPr>
              <w:t>fin</w:t>
            </w:r>
            <w:r>
              <w:rPr>
                <w:rFonts w:ascii="Arial" w:hAnsi="Arial"/>
                <w:spacing w:val="50"/>
                <w:sz w:val="22"/>
              </w:rPr>
              <w:t> </w:t>
            </w:r>
            <w:r>
              <w:rPr>
                <w:rFonts w:ascii="Arial" w:hAnsi="Arial"/>
                <w:sz w:val="22"/>
              </w:rPr>
              <w:t>de</w:t>
            </w:r>
            <w:r>
              <w:rPr>
                <w:rFonts w:ascii="Arial" w:hAnsi="Arial"/>
                <w:spacing w:val="46"/>
                <w:sz w:val="22"/>
              </w:rPr>
              <w:t> </w:t>
            </w:r>
            <w:r>
              <w:rPr>
                <w:rFonts w:ascii="Arial" w:hAnsi="Arial"/>
                <w:sz w:val="22"/>
              </w:rPr>
              <w:t>medir</w:t>
            </w:r>
            <w:r>
              <w:rPr>
                <w:rFonts w:ascii="Arial" w:hAnsi="Arial"/>
                <w:spacing w:val="51"/>
                <w:sz w:val="22"/>
              </w:rPr>
              <w:t> </w:t>
            </w:r>
            <w:r>
              <w:rPr>
                <w:rFonts w:ascii="Arial" w:hAnsi="Arial"/>
                <w:sz w:val="22"/>
              </w:rPr>
              <w:t>el</w:t>
            </w:r>
            <w:r>
              <w:rPr>
                <w:rFonts w:ascii="Arial" w:hAnsi="Arial"/>
                <w:spacing w:val="51"/>
                <w:sz w:val="22"/>
              </w:rPr>
              <w:t> </w:t>
            </w:r>
            <w:r>
              <w:rPr>
                <w:rFonts w:ascii="Arial" w:hAnsi="Arial"/>
                <w:sz w:val="22"/>
              </w:rPr>
              <w:t>nivel</w:t>
            </w:r>
            <w:r>
              <w:rPr>
                <w:rFonts w:ascii="Arial" w:hAnsi="Arial"/>
                <w:spacing w:val="49"/>
                <w:sz w:val="22"/>
              </w:rPr>
              <w:t> </w:t>
            </w:r>
            <w:r>
              <w:rPr>
                <w:rFonts w:ascii="Arial" w:hAnsi="Arial"/>
                <w:spacing w:val="-5"/>
                <w:sz w:val="22"/>
              </w:rPr>
              <w:t>de</w:t>
            </w:r>
          </w:p>
          <w:p>
            <w:pPr>
              <w:pStyle w:val="TableParagraph"/>
              <w:spacing w:line="252" w:lineRule="exact"/>
              <w:ind w:left="107" w:right="83"/>
              <w:jc w:val="both"/>
              <w:rPr>
                <w:rFonts w:ascii="Arial"/>
                <w:sz w:val="22"/>
              </w:rPr>
            </w:pPr>
            <w:r>
              <w:rPr>
                <w:rFonts w:ascii="Arial"/>
                <w:sz w:val="22"/>
              </w:rPr>
              <w:t>dependencia de personas adultas de manera homogenizada.</w:t>
            </w:r>
          </w:p>
        </w:tc>
        <w:tc>
          <w:tcPr>
            <w:tcW w:w="3013" w:type="dxa"/>
            <w:shd w:val="clear" w:color="auto" w:fill="C0C0C0"/>
          </w:tcPr>
          <w:p>
            <w:pPr>
              <w:pStyle w:val="TableParagraph"/>
              <w:ind w:left="18" w:right="2"/>
              <w:jc w:val="center"/>
              <w:rPr>
                <w:rFonts w:ascii="Arial"/>
                <w:sz w:val="24"/>
              </w:rPr>
            </w:pPr>
            <w:r>
              <w:rPr>
                <w:rFonts w:ascii="Arial"/>
                <w:spacing w:val="-2"/>
                <w:sz w:val="24"/>
              </w:rPr>
              <w:t>DAII-</w:t>
            </w:r>
            <w:r>
              <w:rPr>
                <w:rFonts w:ascii="Arial"/>
                <w:spacing w:val="-5"/>
                <w:sz w:val="24"/>
              </w:rPr>
              <w:t>DBF</w:t>
            </w:r>
          </w:p>
        </w:tc>
        <w:tc>
          <w:tcPr>
            <w:tcW w:w="3263" w:type="dxa"/>
            <w:shd w:val="clear" w:color="auto" w:fill="C0C0C0"/>
          </w:tcPr>
          <w:p>
            <w:pPr>
              <w:pStyle w:val="TableParagraph"/>
              <w:ind w:left="17"/>
              <w:jc w:val="center"/>
              <w:rPr>
                <w:rFonts w:ascii="Arial"/>
                <w:sz w:val="24"/>
              </w:rPr>
            </w:pPr>
            <w:r>
              <w:rPr>
                <w:rFonts w:ascii="Arial"/>
                <w:spacing w:val="-4"/>
                <w:sz w:val="24"/>
              </w:rPr>
              <w:t>100%</w:t>
            </w:r>
          </w:p>
        </w:tc>
      </w:tr>
      <w:tr>
        <w:trPr>
          <w:trHeight w:val="1518" w:hRule="atLeast"/>
        </w:trPr>
        <w:tc>
          <w:tcPr>
            <w:tcW w:w="4484" w:type="dxa"/>
          </w:tcPr>
          <w:p>
            <w:pPr>
              <w:pStyle w:val="TableParagraph"/>
              <w:ind w:left="107" w:right="85"/>
              <w:jc w:val="both"/>
              <w:rPr>
                <w:rFonts w:ascii="Arial" w:hAnsi="Arial"/>
                <w:sz w:val="22"/>
              </w:rPr>
            </w:pPr>
            <w:r>
              <w:rPr>
                <w:rFonts w:ascii="Arial" w:hAnsi="Arial"/>
                <w:sz w:val="22"/>
              </w:rPr>
              <w:t>2.8.1 Perfiles de entrada y salida de la población objetivo diseñados e implementados en el marco del Modelo de Intervención Institucional, que permitan la priorización</w:t>
            </w:r>
            <w:r>
              <w:rPr>
                <w:rFonts w:ascii="Arial" w:hAnsi="Arial"/>
                <w:spacing w:val="11"/>
                <w:sz w:val="22"/>
              </w:rPr>
              <w:t> </w:t>
            </w:r>
            <w:r>
              <w:rPr>
                <w:rFonts w:ascii="Arial" w:hAnsi="Arial"/>
                <w:sz w:val="22"/>
              </w:rPr>
              <w:t>para</w:t>
            </w:r>
            <w:r>
              <w:rPr>
                <w:rFonts w:ascii="Arial" w:hAnsi="Arial"/>
                <w:spacing w:val="10"/>
                <w:sz w:val="22"/>
              </w:rPr>
              <w:t> </w:t>
            </w:r>
            <w:r>
              <w:rPr>
                <w:rFonts w:ascii="Arial" w:hAnsi="Arial"/>
                <w:sz w:val="22"/>
              </w:rPr>
              <w:t>la</w:t>
            </w:r>
            <w:r>
              <w:rPr>
                <w:rFonts w:ascii="Arial" w:hAnsi="Arial"/>
                <w:spacing w:val="12"/>
                <w:sz w:val="22"/>
              </w:rPr>
              <w:t> </w:t>
            </w:r>
            <w:r>
              <w:rPr>
                <w:rFonts w:ascii="Arial" w:hAnsi="Arial"/>
                <w:sz w:val="22"/>
              </w:rPr>
              <w:t>atención</w:t>
            </w:r>
            <w:r>
              <w:rPr>
                <w:rFonts w:ascii="Arial" w:hAnsi="Arial"/>
                <w:spacing w:val="12"/>
                <w:sz w:val="22"/>
              </w:rPr>
              <w:t> </w:t>
            </w:r>
            <w:r>
              <w:rPr>
                <w:rFonts w:ascii="Arial" w:hAnsi="Arial"/>
                <w:sz w:val="22"/>
              </w:rPr>
              <w:t>e</w:t>
            </w:r>
            <w:r>
              <w:rPr>
                <w:rFonts w:ascii="Arial" w:hAnsi="Arial"/>
                <w:spacing w:val="12"/>
                <w:sz w:val="22"/>
              </w:rPr>
              <w:t> </w:t>
            </w:r>
            <w:r>
              <w:rPr>
                <w:rFonts w:ascii="Arial" w:hAnsi="Arial"/>
                <w:spacing w:val="-2"/>
                <w:sz w:val="22"/>
              </w:rPr>
              <w:t>intervención</w:t>
            </w:r>
          </w:p>
          <w:p>
            <w:pPr>
              <w:pStyle w:val="TableParagraph"/>
              <w:spacing w:line="234" w:lineRule="exact"/>
              <w:ind w:left="107"/>
              <w:jc w:val="both"/>
              <w:rPr>
                <w:rFonts w:ascii="Arial"/>
                <w:sz w:val="22"/>
              </w:rPr>
            </w:pPr>
            <w:r>
              <w:rPr>
                <w:rFonts w:ascii="Arial"/>
                <w:sz w:val="22"/>
              </w:rPr>
              <w:t>de</w:t>
            </w:r>
            <w:r>
              <w:rPr>
                <w:rFonts w:ascii="Arial"/>
                <w:spacing w:val="-4"/>
                <w:sz w:val="22"/>
              </w:rPr>
              <w:t> </w:t>
            </w:r>
            <w:r>
              <w:rPr>
                <w:rFonts w:ascii="Arial"/>
                <w:sz w:val="22"/>
              </w:rPr>
              <w:t>los</w:t>
            </w:r>
            <w:r>
              <w:rPr>
                <w:rFonts w:ascii="Arial"/>
                <w:spacing w:val="-1"/>
                <w:sz w:val="22"/>
              </w:rPr>
              <w:t> </w:t>
            </w:r>
            <w:r>
              <w:rPr>
                <w:rFonts w:ascii="Arial"/>
                <w:spacing w:val="-2"/>
                <w:sz w:val="22"/>
              </w:rPr>
              <w:t>hogares.</w:t>
            </w:r>
          </w:p>
        </w:tc>
        <w:tc>
          <w:tcPr>
            <w:tcW w:w="3013" w:type="dxa"/>
          </w:tcPr>
          <w:p>
            <w:pPr>
              <w:pStyle w:val="TableParagraph"/>
              <w:ind w:left="18"/>
              <w:jc w:val="center"/>
              <w:rPr>
                <w:rFonts w:ascii="Arial"/>
                <w:sz w:val="24"/>
              </w:rPr>
            </w:pPr>
            <w:r>
              <w:rPr>
                <w:rFonts w:ascii="Arial"/>
                <w:sz w:val="24"/>
              </w:rPr>
              <w:t>DDSE/</w:t>
            </w:r>
            <w:r>
              <w:rPr>
                <w:rFonts w:ascii="Arial"/>
                <w:spacing w:val="-4"/>
                <w:sz w:val="24"/>
              </w:rPr>
              <w:t> </w:t>
            </w:r>
            <w:r>
              <w:rPr>
                <w:rFonts w:ascii="Arial"/>
                <w:sz w:val="24"/>
              </w:rPr>
              <w:t>DAII-DBF-</w:t>
            </w:r>
            <w:r>
              <w:rPr>
                <w:rFonts w:ascii="Arial"/>
                <w:spacing w:val="-2"/>
                <w:sz w:val="24"/>
              </w:rPr>
              <w:t>DDSPC</w:t>
            </w:r>
          </w:p>
        </w:tc>
        <w:tc>
          <w:tcPr>
            <w:tcW w:w="3263" w:type="dxa"/>
          </w:tcPr>
          <w:p>
            <w:pPr>
              <w:pStyle w:val="TableParagraph"/>
              <w:ind w:left="17"/>
              <w:jc w:val="center"/>
              <w:rPr>
                <w:rFonts w:ascii="Arial"/>
                <w:sz w:val="24"/>
              </w:rPr>
            </w:pPr>
            <w:r>
              <w:rPr>
                <w:rFonts w:ascii="Arial"/>
                <w:spacing w:val="-4"/>
                <w:sz w:val="24"/>
              </w:rPr>
              <w:t>100%</w:t>
            </w:r>
          </w:p>
        </w:tc>
      </w:tr>
    </w:tbl>
    <w:p>
      <w:pPr>
        <w:pStyle w:val="BodyText"/>
        <w:spacing w:before="68"/>
        <w:rPr>
          <w:b/>
          <w:sz w:val="18"/>
        </w:rPr>
      </w:pPr>
    </w:p>
    <w:p>
      <w:pPr>
        <w:spacing w:before="0"/>
        <w:ind w:left="218" w:right="437" w:firstLine="0"/>
        <w:jc w:val="center"/>
        <w:rPr>
          <w:sz w:val="18"/>
        </w:rPr>
      </w:pPr>
      <w:r>
        <w:rPr>
          <w:sz w:val="18"/>
        </w:rPr>
        <w:t>Fuente</w:t>
      </w:r>
      <w:r>
        <w:rPr>
          <w:spacing w:val="-4"/>
          <w:sz w:val="18"/>
        </w:rPr>
        <w:t> </w:t>
      </w:r>
      <w:r>
        <w:rPr>
          <w:sz w:val="18"/>
        </w:rPr>
        <w:t>Informe</w:t>
      </w:r>
      <w:r>
        <w:rPr>
          <w:spacing w:val="-3"/>
          <w:sz w:val="18"/>
        </w:rPr>
        <w:t> </w:t>
      </w:r>
      <w:r>
        <w:rPr>
          <w:sz w:val="18"/>
        </w:rPr>
        <w:t>II</w:t>
      </w:r>
      <w:r>
        <w:rPr>
          <w:spacing w:val="-1"/>
          <w:sz w:val="18"/>
        </w:rPr>
        <w:t> </w:t>
      </w:r>
      <w:r>
        <w:rPr>
          <w:sz w:val="18"/>
        </w:rPr>
        <w:t>trimestre</w:t>
      </w:r>
      <w:r>
        <w:rPr>
          <w:spacing w:val="-3"/>
          <w:sz w:val="18"/>
        </w:rPr>
        <w:t> </w:t>
      </w:r>
      <w:r>
        <w:rPr>
          <w:sz w:val="18"/>
        </w:rPr>
        <w:t>del</w:t>
      </w:r>
      <w:r>
        <w:rPr>
          <w:spacing w:val="-3"/>
          <w:sz w:val="18"/>
        </w:rPr>
        <w:t> </w:t>
      </w:r>
      <w:r>
        <w:rPr>
          <w:sz w:val="18"/>
        </w:rPr>
        <w:t>POI-POGE</w:t>
      </w:r>
      <w:r>
        <w:rPr>
          <w:spacing w:val="-1"/>
          <w:sz w:val="18"/>
        </w:rPr>
        <w:t> </w:t>
      </w:r>
      <w:r>
        <w:rPr>
          <w:spacing w:val="-4"/>
          <w:sz w:val="18"/>
        </w:rPr>
        <w:t>2024</w:t>
      </w:r>
    </w:p>
    <w:p>
      <w:pPr>
        <w:pStyle w:val="BodyText"/>
        <w:rPr>
          <w:sz w:val="18"/>
        </w:rPr>
      </w:pPr>
    </w:p>
    <w:p>
      <w:pPr>
        <w:pStyle w:val="BodyText"/>
        <w:spacing w:before="139"/>
        <w:rPr>
          <w:sz w:val="18"/>
        </w:rPr>
      </w:pPr>
    </w:p>
    <w:p>
      <w:pPr>
        <w:pStyle w:val="BodyText"/>
        <w:spacing w:before="1"/>
        <w:ind w:left="165" w:right="384"/>
        <w:jc w:val="both"/>
      </w:pPr>
      <w:r>
        <w:rPr/>
        <w:t>Sobre este particular y analizando el avance según lo programado, se atribuye a la característica de que las unidades administrativas tanto la responsables y corresponsables, pertenecen a la Dirección de Desarrollo Social, las cuales se caracterizan por un trabajo coordinado entre ellas y con un monitoreo a la interno sobre las acciones bajo su responsabilidad. Lo anterior, se debe rescatar como una buena práctica, que se podría replicar en la implementación de los otros ejes . No</w:t>
      </w:r>
      <w:r>
        <w:rPr>
          <w:spacing w:val="10"/>
        </w:rPr>
        <w:t> </w:t>
      </w:r>
      <w:r>
        <w:rPr/>
        <w:t>obstante,</w:t>
      </w:r>
      <w:r>
        <w:rPr>
          <w:spacing w:val="14"/>
        </w:rPr>
        <w:t> </w:t>
      </w:r>
      <w:r>
        <w:rPr/>
        <w:t>se</w:t>
      </w:r>
      <w:r>
        <w:rPr>
          <w:spacing w:val="13"/>
        </w:rPr>
        <w:t> </w:t>
      </w:r>
      <w:r>
        <w:rPr/>
        <w:t>debe</w:t>
      </w:r>
      <w:r>
        <w:rPr>
          <w:spacing w:val="10"/>
        </w:rPr>
        <w:t> </w:t>
      </w:r>
      <w:r>
        <w:rPr/>
        <w:t>mencionar</w:t>
      </w:r>
      <w:r>
        <w:rPr>
          <w:spacing w:val="14"/>
        </w:rPr>
        <w:t> </w:t>
      </w:r>
      <w:r>
        <w:rPr/>
        <w:t>un</w:t>
      </w:r>
      <w:r>
        <w:rPr>
          <w:spacing w:val="13"/>
        </w:rPr>
        <w:t> </w:t>
      </w:r>
      <w:r>
        <w:rPr/>
        <w:t>cuarto</w:t>
      </w:r>
      <w:r>
        <w:rPr>
          <w:spacing w:val="13"/>
        </w:rPr>
        <w:t> </w:t>
      </w:r>
      <w:r>
        <w:rPr/>
        <w:t>resultado</w:t>
      </w:r>
      <w:r>
        <w:rPr>
          <w:spacing w:val="12"/>
        </w:rPr>
        <w:t> </w:t>
      </w:r>
      <w:r>
        <w:rPr/>
        <w:t>que</w:t>
      </w:r>
      <w:r>
        <w:rPr>
          <w:spacing w:val="13"/>
        </w:rPr>
        <w:t> </w:t>
      </w:r>
      <w:r>
        <w:rPr/>
        <w:t>no</w:t>
      </w:r>
      <w:r>
        <w:rPr>
          <w:spacing w:val="13"/>
        </w:rPr>
        <w:t> </w:t>
      </w:r>
      <w:r>
        <w:rPr/>
        <w:t>se</w:t>
      </w:r>
      <w:r>
        <w:rPr>
          <w:spacing w:val="13"/>
        </w:rPr>
        <w:t> </w:t>
      </w:r>
      <w:r>
        <w:rPr/>
        <w:t>programó</w:t>
      </w:r>
      <w:r>
        <w:rPr>
          <w:spacing w:val="12"/>
        </w:rPr>
        <w:t> </w:t>
      </w:r>
      <w:r>
        <w:rPr/>
        <w:t>en</w:t>
      </w:r>
      <w:r>
        <w:rPr>
          <w:spacing w:val="13"/>
        </w:rPr>
        <w:t> </w:t>
      </w:r>
      <w:r>
        <w:rPr/>
        <w:t>el</w:t>
      </w:r>
      <w:r>
        <w:rPr>
          <w:spacing w:val="12"/>
        </w:rPr>
        <w:t> </w:t>
      </w:r>
      <w:r>
        <w:rPr/>
        <w:t>POI-POGE</w:t>
      </w:r>
      <w:r>
        <w:rPr>
          <w:spacing w:val="13"/>
        </w:rPr>
        <w:t> </w:t>
      </w:r>
      <w:r>
        <w:rPr>
          <w:spacing w:val="-2"/>
        </w:rPr>
        <w:t>2024,</w:t>
      </w:r>
    </w:p>
    <w:p>
      <w:pPr>
        <w:pStyle w:val="BodyText"/>
        <w:ind w:left="165"/>
        <w:jc w:val="both"/>
      </w:pPr>
      <w:r>
        <w:rPr>
          <w:u w:val="single"/>
        </w:rPr>
        <w:t>2.3.1</w:t>
      </w:r>
      <w:r>
        <w:rPr>
          <w:spacing w:val="41"/>
          <w:u w:val="single"/>
        </w:rPr>
        <w:t> </w:t>
      </w:r>
      <w:r>
        <w:rPr>
          <w:u w:val="single"/>
        </w:rPr>
        <w:t>Estándares</w:t>
      </w:r>
      <w:r>
        <w:rPr>
          <w:spacing w:val="41"/>
          <w:u w:val="single"/>
        </w:rPr>
        <w:t> </w:t>
      </w:r>
      <w:r>
        <w:rPr>
          <w:u w:val="single"/>
        </w:rPr>
        <w:t>de</w:t>
      </w:r>
      <w:r>
        <w:rPr>
          <w:spacing w:val="40"/>
          <w:u w:val="single"/>
        </w:rPr>
        <w:t> </w:t>
      </w:r>
      <w:r>
        <w:rPr>
          <w:u w:val="single"/>
        </w:rPr>
        <w:t>calidad</w:t>
      </w:r>
      <w:r>
        <w:rPr>
          <w:spacing w:val="43"/>
          <w:u w:val="single"/>
        </w:rPr>
        <w:t> </w:t>
      </w:r>
      <w:r>
        <w:rPr>
          <w:u w:val="single"/>
        </w:rPr>
        <w:t>de</w:t>
      </w:r>
      <w:r>
        <w:rPr>
          <w:spacing w:val="44"/>
          <w:u w:val="single"/>
        </w:rPr>
        <w:t> </w:t>
      </w:r>
      <w:r>
        <w:rPr>
          <w:u w:val="single"/>
        </w:rPr>
        <w:t>la</w:t>
      </w:r>
      <w:r>
        <w:rPr>
          <w:spacing w:val="39"/>
          <w:u w:val="single"/>
        </w:rPr>
        <w:t> </w:t>
      </w:r>
      <w:r>
        <w:rPr>
          <w:u w:val="single"/>
        </w:rPr>
        <w:t>oferta</w:t>
      </w:r>
      <w:r>
        <w:rPr>
          <w:spacing w:val="40"/>
          <w:u w:val="single"/>
        </w:rPr>
        <w:t> </w:t>
      </w:r>
      <w:r>
        <w:rPr>
          <w:u w:val="single"/>
        </w:rPr>
        <w:t>programática</w:t>
      </w:r>
      <w:r>
        <w:rPr>
          <w:spacing w:val="42"/>
          <w:u w:val="single"/>
        </w:rPr>
        <w:t> </w:t>
      </w:r>
      <w:r>
        <w:rPr>
          <w:u w:val="single"/>
        </w:rPr>
        <w:t>institucional</w:t>
      </w:r>
      <w:r>
        <w:rPr>
          <w:spacing w:val="43"/>
          <w:u w:val="single"/>
        </w:rPr>
        <w:t> </w:t>
      </w:r>
      <w:r>
        <w:rPr>
          <w:u w:val="single"/>
        </w:rPr>
        <w:t>diseñados,</w:t>
      </w:r>
      <w:r>
        <w:rPr>
          <w:spacing w:val="41"/>
          <w:u w:val="single"/>
        </w:rPr>
        <w:t> </w:t>
      </w:r>
      <w:r>
        <w:rPr>
          <w:u w:val="single"/>
        </w:rPr>
        <w:t>que</w:t>
      </w:r>
      <w:r>
        <w:rPr>
          <w:spacing w:val="42"/>
          <w:u w:val="single"/>
        </w:rPr>
        <w:t> </w:t>
      </w:r>
      <w:r>
        <w:rPr>
          <w:u w:val="single"/>
        </w:rPr>
        <w:t>permitan</w:t>
      </w:r>
      <w:r>
        <w:rPr>
          <w:spacing w:val="40"/>
          <w:u w:val="single"/>
        </w:rPr>
        <w:t> </w:t>
      </w:r>
      <w:r>
        <w:rPr>
          <w:spacing w:val="-5"/>
          <w:u w:val="single"/>
        </w:rPr>
        <w:t>el</w:t>
      </w:r>
    </w:p>
    <w:p>
      <w:pPr>
        <w:pStyle w:val="BodyText"/>
        <w:spacing w:after="0"/>
        <w:jc w:val="both"/>
        <w:sectPr>
          <w:headerReference w:type="default" r:id="rId67"/>
          <w:footerReference w:type="default" r:id="rId68"/>
          <w:pgSz w:w="13370" w:h="17280"/>
          <w:pgMar w:header="0" w:footer="969" w:top="720" w:bottom="1160" w:left="1275" w:right="992"/>
        </w:sectPr>
      </w:pPr>
    </w:p>
    <w:p>
      <w:pPr>
        <w:pStyle w:val="BodyText"/>
        <w:spacing w:before="78"/>
        <w:ind w:left="165" w:right="383"/>
        <w:jc w:val="both"/>
      </w:pPr>
      <w:r>
        <w:rPr>
          <w:u w:val="single"/>
        </w:rPr>
        <w:t>desarrollo de un sistema de seguimiento y control, </w:t>
      </w:r>
      <w:r>
        <w:rPr>
          <w:u w:val="none"/>
        </w:rPr>
        <w:t>por lo cual no se reporta ningún avance, lo que obliga para el IV trimestre hacer un ajuste en el POI-POGE 2024 para incluirla, siguiendo la Directriz GG 0906-2023.</w:t>
      </w:r>
    </w:p>
    <w:p>
      <w:pPr>
        <w:pStyle w:val="BodyText"/>
      </w:pPr>
    </w:p>
    <w:p>
      <w:pPr>
        <w:pStyle w:val="Heading5"/>
        <w:numPr>
          <w:ilvl w:val="0"/>
          <w:numId w:val="11"/>
        </w:numPr>
        <w:tabs>
          <w:tab w:pos="377" w:val="left" w:leader="none"/>
        </w:tabs>
        <w:spacing w:line="240" w:lineRule="auto" w:before="0" w:after="0"/>
        <w:ind w:left="377" w:right="0" w:hanging="212"/>
        <w:jc w:val="both"/>
      </w:pPr>
      <w:r>
        <w:rPr/>
        <w:t>Gestión</w:t>
      </w:r>
      <w:r>
        <w:rPr>
          <w:spacing w:val="-5"/>
        </w:rPr>
        <w:t> </w:t>
      </w:r>
      <w:r>
        <w:rPr/>
        <w:t>del</w:t>
      </w:r>
      <w:r>
        <w:rPr>
          <w:spacing w:val="-4"/>
        </w:rPr>
        <w:t> </w:t>
      </w:r>
      <w:r>
        <w:rPr/>
        <w:t>desarrollo</w:t>
      </w:r>
      <w:r>
        <w:rPr>
          <w:spacing w:val="-3"/>
        </w:rPr>
        <w:t> </w:t>
      </w:r>
      <w:r>
        <w:rPr/>
        <w:t>regional</w:t>
      </w:r>
      <w:r>
        <w:rPr>
          <w:spacing w:val="-4"/>
        </w:rPr>
        <w:t> </w:t>
      </w:r>
      <w:r>
        <w:rPr/>
        <w:t>e</w:t>
      </w:r>
      <w:r>
        <w:rPr>
          <w:spacing w:val="-2"/>
        </w:rPr>
        <w:t> </w:t>
      </w:r>
      <w:r>
        <w:rPr/>
        <w:t>inversión</w:t>
      </w:r>
      <w:r>
        <w:rPr>
          <w:spacing w:val="-3"/>
        </w:rPr>
        <w:t> </w:t>
      </w:r>
      <w:r>
        <w:rPr/>
        <w:t>social</w:t>
      </w:r>
      <w:r>
        <w:rPr>
          <w:spacing w:val="-3"/>
        </w:rPr>
        <w:t> </w:t>
      </w:r>
      <w:r>
        <w:rPr>
          <w:spacing w:val="-2"/>
        </w:rPr>
        <w:t>territorial</w:t>
      </w:r>
    </w:p>
    <w:p>
      <w:pPr>
        <w:pStyle w:val="BodyText"/>
        <w:rPr>
          <w:b/>
        </w:rPr>
      </w:pPr>
    </w:p>
    <w:p>
      <w:pPr>
        <w:pStyle w:val="BodyText"/>
        <w:ind w:left="165" w:right="382"/>
        <w:jc w:val="both"/>
      </w:pPr>
      <w:r>
        <w:rPr/>
        <w:t>El Eje Estratégico # 3, Gestión del desarrollo regional e inversión social territorial, para el I semestre según programación del POI-POGE 2024, presenta 17 resultados activos, los cuales se dividen en dos subgrupos: según los programado y avance crítico, tal y como se muestra en los siguientes dos cuadros:</w:t>
      </w:r>
    </w:p>
    <w:p>
      <w:pPr>
        <w:pStyle w:val="BodyText"/>
        <w:spacing w:before="103"/>
      </w:pPr>
    </w:p>
    <w:p>
      <w:pPr>
        <w:spacing w:before="0"/>
        <w:ind w:left="215" w:right="437" w:firstLine="0"/>
        <w:jc w:val="center"/>
        <w:rPr>
          <w:b/>
          <w:sz w:val="22"/>
        </w:rPr>
      </w:pPr>
      <w:r>
        <w:rPr>
          <w:b/>
          <w:sz w:val="22"/>
        </w:rPr>
        <w:t>Cuadro</w:t>
      </w:r>
      <w:r>
        <w:rPr>
          <w:b/>
          <w:spacing w:val="-4"/>
          <w:sz w:val="22"/>
        </w:rPr>
        <w:t> </w:t>
      </w:r>
      <w:r>
        <w:rPr>
          <w:b/>
          <w:sz w:val="22"/>
        </w:rPr>
        <w:t>#</w:t>
      </w:r>
      <w:r>
        <w:rPr>
          <w:b/>
          <w:spacing w:val="-1"/>
          <w:sz w:val="22"/>
        </w:rPr>
        <w:t> </w:t>
      </w:r>
      <w:r>
        <w:rPr>
          <w:b/>
          <w:spacing w:val="-7"/>
          <w:sz w:val="22"/>
        </w:rPr>
        <w:t>3.</w:t>
      </w:r>
    </w:p>
    <w:p>
      <w:pPr>
        <w:spacing w:line="360" w:lineRule="auto" w:before="126"/>
        <w:ind w:left="969" w:right="1194" w:firstLine="0"/>
        <w:jc w:val="center"/>
        <w:rPr>
          <w:b/>
          <w:sz w:val="22"/>
        </w:rPr>
      </w:pPr>
      <w:r>
        <w:rPr>
          <w:b/>
          <w:sz w:val="22"/>
        </w:rPr>
        <w:t>Subgrupo</w:t>
      </w:r>
      <w:r>
        <w:rPr>
          <w:b/>
          <w:spacing w:val="-4"/>
          <w:sz w:val="22"/>
        </w:rPr>
        <w:t> </w:t>
      </w:r>
      <w:r>
        <w:rPr>
          <w:b/>
          <w:sz w:val="22"/>
        </w:rPr>
        <w:t>de</w:t>
      </w:r>
      <w:r>
        <w:rPr>
          <w:b/>
          <w:spacing w:val="-4"/>
          <w:sz w:val="22"/>
        </w:rPr>
        <w:t> </w:t>
      </w:r>
      <w:r>
        <w:rPr>
          <w:b/>
          <w:sz w:val="22"/>
        </w:rPr>
        <w:t>productos</w:t>
      </w:r>
      <w:r>
        <w:rPr>
          <w:b/>
          <w:spacing w:val="-4"/>
          <w:sz w:val="22"/>
        </w:rPr>
        <w:t> </w:t>
      </w:r>
      <w:r>
        <w:rPr>
          <w:b/>
          <w:sz w:val="22"/>
        </w:rPr>
        <w:t>vinculados</w:t>
      </w:r>
      <w:r>
        <w:rPr>
          <w:b/>
          <w:spacing w:val="-4"/>
          <w:sz w:val="22"/>
        </w:rPr>
        <w:t> </w:t>
      </w:r>
      <w:r>
        <w:rPr>
          <w:b/>
          <w:sz w:val="22"/>
        </w:rPr>
        <w:t>al</w:t>
      </w:r>
      <w:r>
        <w:rPr>
          <w:b/>
          <w:spacing w:val="-2"/>
          <w:sz w:val="22"/>
        </w:rPr>
        <w:t> </w:t>
      </w:r>
      <w:r>
        <w:rPr>
          <w:b/>
          <w:sz w:val="22"/>
        </w:rPr>
        <w:t>Plan</w:t>
      </w:r>
      <w:r>
        <w:rPr>
          <w:b/>
          <w:spacing w:val="-4"/>
          <w:sz w:val="22"/>
        </w:rPr>
        <w:t> </w:t>
      </w:r>
      <w:r>
        <w:rPr>
          <w:b/>
          <w:sz w:val="22"/>
        </w:rPr>
        <w:t>Estratégico</w:t>
      </w:r>
      <w:r>
        <w:rPr>
          <w:b/>
          <w:spacing w:val="-6"/>
          <w:sz w:val="22"/>
        </w:rPr>
        <w:t> </w:t>
      </w:r>
      <w:r>
        <w:rPr>
          <w:b/>
          <w:sz w:val="22"/>
        </w:rPr>
        <w:t>Institucional</w:t>
      </w:r>
      <w:r>
        <w:rPr>
          <w:b/>
          <w:spacing w:val="-1"/>
          <w:sz w:val="22"/>
        </w:rPr>
        <w:t> </w:t>
      </w:r>
      <w:r>
        <w:rPr>
          <w:b/>
          <w:sz w:val="22"/>
        </w:rPr>
        <w:t>-PEI</w:t>
      </w:r>
      <w:r>
        <w:rPr>
          <w:b/>
          <w:spacing w:val="-2"/>
          <w:sz w:val="22"/>
        </w:rPr>
        <w:t> </w:t>
      </w:r>
      <w:r>
        <w:rPr>
          <w:b/>
          <w:sz w:val="22"/>
        </w:rPr>
        <w:t>2023-2028, según lo programado I semestre del PEI 2023-2028.</w:t>
      </w:r>
    </w:p>
    <w:p>
      <w:pPr>
        <w:pStyle w:val="BodyText"/>
        <w:spacing w:before="149" w:after="1"/>
        <w:rPr>
          <w:b/>
          <w:sz w:val="20"/>
        </w:rPr>
      </w:pPr>
    </w:p>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14"/>
        <w:gridCol w:w="2506"/>
        <w:gridCol w:w="2739"/>
      </w:tblGrid>
      <w:tr>
        <w:trPr>
          <w:trHeight w:val="1333" w:hRule="atLeast"/>
        </w:trPr>
        <w:tc>
          <w:tcPr>
            <w:tcW w:w="5514" w:type="dxa"/>
            <w:tcBorders>
              <w:bottom w:val="single" w:sz="18" w:space="0" w:color="000000"/>
            </w:tcBorders>
          </w:tcPr>
          <w:p>
            <w:pPr>
              <w:pStyle w:val="TableParagraph"/>
              <w:spacing w:before="2"/>
              <w:ind w:left="195"/>
              <w:jc w:val="center"/>
              <w:rPr>
                <w:rFonts w:ascii="Arial"/>
                <w:b/>
                <w:sz w:val="22"/>
              </w:rPr>
            </w:pPr>
            <w:r>
              <w:rPr>
                <w:rFonts w:ascii="Arial"/>
                <w:b/>
                <w:spacing w:val="-2"/>
                <w:sz w:val="22"/>
              </w:rPr>
              <w:t>Producto</w:t>
            </w:r>
          </w:p>
        </w:tc>
        <w:tc>
          <w:tcPr>
            <w:tcW w:w="2506" w:type="dxa"/>
            <w:tcBorders>
              <w:bottom w:val="single" w:sz="18" w:space="0" w:color="000000"/>
            </w:tcBorders>
          </w:tcPr>
          <w:p>
            <w:pPr>
              <w:pStyle w:val="TableParagraph"/>
              <w:spacing w:before="2"/>
              <w:ind w:left="565"/>
              <w:rPr>
                <w:rFonts w:ascii="Arial"/>
                <w:b/>
                <w:sz w:val="22"/>
              </w:rPr>
            </w:pPr>
            <w:r>
              <w:rPr>
                <w:rFonts w:ascii="Arial"/>
                <w:b/>
                <w:spacing w:val="-2"/>
                <w:sz w:val="22"/>
              </w:rPr>
              <w:t>Responsable</w:t>
            </w:r>
          </w:p>
        </w:tc>
        <w:tc>
          <w:tcPr>
            <w:tcW w:w="2739" w:type="dxa"/>
            <w:tcBorders>
              <w:bottom w:val="single" w:sz="18" w:space="0" w:color="000000"/>
            </w:tcBorders>
          </w:tcPr>
          <w:p>
            <w:pPr>
              <w:pStyle w:val="TableParagraph"/>
              <w:spacing w:line="278" w:lineRule="auto" w:before="2"/>
              <w:ind w:left="106" w:right="85"/>
              <w:jc w:val="both"/>
              <w:rPr>
                <w:rFonts w:ascii="Arial"/>
                <w:b/>
                <w:sz w:val="22"/>
              </w:rPr>
            </w:pPr>
            <w:r>
              <w:rPr>
                <w:rFonts w:ascii="Arial"/>
                <w:b/>
                <w:sz w:val="22"/>
              </w:rPr>
              <w:t>Porcentaje de avance para el periodo I semestre del PEI 2023-</w:t>
            </w:r>
            <w:r>
              <w:rPr>
                <w:rFonts w:ascii="Arial"/>
                <w:b/>
                <w:spacing w:val="-2"/>
                <w:sz w:val="22"/>
              </w:rPr>
              <w:t>2028.</w:t>
            </w:r>
          </w:p>
        </w:tc>
      </w:tr>
      <w:tr>
        <w:trPr>
          <w:trHeight w:val="1172" w:hRule="atLeast"/>
        </w:trPr>
        <w:tc>
          <w:tcPr>
            <w:tcW w:w="5514" w:type="dxa"/>
            <w:tcBorders>
              <w:top w:val="single" w:sz="18" w:space="0" w:color="000000"/>
            </w:tcBorders>
            <w:shd w:val="clear" w:color="auto" w:fill="C0C0C0"/>
          </w:tcPr>
          <w:p>
            <w:pPr>
              <w:pStyle w:val="TableParagraph"/>
              <w:ind w:left="282" w:right="89"/>
              <w:jc w:val="both"/>
              <w:rPr>
                <w:rFonts w:ascii="Arial" w:hAnsi="Arial"/>
                <w:sz w:val="22"/>
              </w:rPr>
            </w:pPr>
            <w:r>
              <w:rPr>
                <w:rFonts w:ascii="Arial" w:hAnsi="Arial"/>
                <w:sz w:val="22"/>
              </w:rPr>
              <w:t>E3AE2R1 (PPPS 1.13): Población en pobreza extrema y pobreza realizado que identifique limitaciones de acceso a la tecnología y brecha digital que dificulta la atención oportuna del IMAS.</w:t>
            </w:r>
          </w:p>
        </w:tc>
        <w:tc>
          <w:tcPr>
            <w:tcW w:w="2506" w:type="dxa"/>
            <w:tcBorders>
              <w:top w:val="single" w:sz="18" w:space="0" w:color="000000"/>
            </w:tcBorders>
            <w:shd w:val="clear" w:color="auto" w:fill="C0C0C0"/>
          </w:tcPr>
          <w:p>
            <w:pPr>
              <w:pStyle w:val="TableParagraph"/>
              <w:tabs>
                <w:tab w:pos="1309" w:val="left" w:leader="none"/>
              </w:tabs>
              <w:ind w:left="107" w:right="85"/>
              <w:rPr>
                <w:rFonts w:ascii="Arial"/>
                <w:sz w:val="22"/>
              </w:rPr>
            </w:pPr>
            <w:r>
              <w:rPr>
                <w:rFonts w:ascii="Arial"/>
                <w:spacing w:val="-2"/>
                <w:sz w:val="22"/>
              </w:rPr>
              <w:t>DDSE/</w:t>
            </w:r>
            <w:r>
              <w:rPr>
                <w:rFonts w:ascii="Arial"/>
                <w:sz w:val="22"/>
              </w:rPr>
              <w:tab/>
            </w:r>
            <w:r>
              <w:rPr>
                <w:rFonts w:ascii="Arial"/>
                <w:spacing w:val="-2"/>
                <w:sz w:val="22"/>
              </w:rPr>
              <w:t>DAII-</w:t>
            </w:r>
            <w:r>
              <w:rPr>
                <w:rFonts w:ascii="Arial"/>
                <w:spacing w:val="-2"/>
                <w:sz w:val="22"/>
              </w:rPr>
              <w:t>DSIS-</w:t>
            </w:r>
            <w:r>
              <w:rPr>
                <w:rFonts w:ascii="Arial"/>
                <w:spacing w:val="-4"/>
                <w:sz w:val="22"/>
              </w:rPr>
              <w:t>ARDS</w:t>
            </w:r>
          </w:p>
        </w:tc>
        <w:tc>
          <w:tcPr>
            <w:tcW w:w="2739" w:type="dxa"/>
            <w:tcBorders>
              <w:top w:val="single" w:sz="18" w:space="0" w:color="000000"/>
            </w:tcBorders>
            <w:shd w:val="clear" w:color="auto" w:fill="C0C0C0"/>
          </w:tcPr>
          <w:p>
            <w:pPr>
              <w:pStyle w:val="TableParagraph"/>
              <w:spacing w:line="252" w:lineRule="exact"/>
              <w:ind w:left="106"/>
              <w:rPr>
                <w:rFonts w:ascii="Arial"/>
                <w:sz w:val="22"/>
              </w:rPr>
            </w:pPr>
            <w:r>
              <w:rPr>
                <w:rFonts w:ascii="Arial"/>
                <w:spacing w:val="-4"/>
                <w:sz w:val="22"/>
              </w:rPr>
              <w:t>100%</w:t>
            </w:r>
          </w:p>
        </w:tc>
      </w:tr>
      <w:tr>
        <w:trPr>
          <w:trHeight w:val="1425" w:hRule="atLeast"/>
        </w:trPr>
        <w:tc>
          <w:tcPr>
            <w:tcW w:w="5514" w:type="dxa"/>
          </w:tcPr>
          <w:p>
            <w:pPr>
              <w:pStyle w:val="TableParagraph"/>
              <w:ind w:left="282" w:right="89"/>
              <w:jc w:val="both"/>
              <w:rPr>
                <w:rFonts w:ascii="Arial" w:hAnsi="Arial"/>
                <w:sz w:val="22"/>
              </w:rPr>
            </w:pPr>
            <w:r>
              <w:rPr>
                <w:rFonts w:ascii="Arial" w:hAnsi="Arial"/>
                <w:sz w:val="22"/>
              </w:rPr>
              <w:t>E3 AE4 R1 (PPPS 1.17): Mecanismo API Service creado e implementado con la finalidad de automatizar los procesos de atención de población estudiantil que contribuya a 9la mejora continua en los procesos de intervención institucional.</w:t>
            </w:r>
          </w:p>
        </w:tc>
        <w:tc>
          <w:tcPr>
            <w:tcW w:w="2506" w:type="dxa"/>
          </w:tcPr>
          <w:p>
            <w:pPr>
              <w:pStyle w:val="TableParagraph"/>
              <w:ind w:left="107"/>
              <w:rPr>
                <w:rFonts w:ascii="Arial"/>
                <w:sz w:val="22"/>
              </w:rPr>
            </w:pPr>
            <w:r>
              <w:rPr>
                <w:rFonts w:ascii="Arial"/>
                <w:sz w:val="22"/>
              </w:rPr>
              <w:t>DDSE/</w:t>
            </w:r>
            <w:r>
              <w:rPr>
                <w:rFonts w:ascii="Arial"/>
                <w:spacing w:val="-9"/>
                <w:sz w:val="22"/>
              </w:rPr>
              <w:t> </w:t>
            </w:r>
            <w:r>
              <w:rPr>
                <w:rFonts w:ascii="Arial"/>
                <w:sz w:val="22"/>
              </w:rPr>
              <w:t>DDS-TI-</w:t>
            </w:r>
            <w:r>
              <w:rPr>
                <w:rFonts w:ascii="Arial"/>
                <w:spacing w:val="-4"/>
                <w:sz w:val="22"/>
              </w:rPr>
              <w:t>ARDS</w:t>
            </w:r>
          </w:p>
        </w:tc>
        <w:tc>
          <w:tcPr>
            <w:tcW w:w="2739" w:type="dxa"/>
          </w:tcPr>
          <w:p>
            <w:pPr>
              <w:pStyle w:val="TableParagraph"/>
              <w:ind w:left="106"/>
              <w:rPr>
                <w:rFonts w:ascii="Arial"/>
                <w:sz w:val="22"/>
              </w:rPr>
            </w:pPr>
            <w:r>
              <w:rPr>
                <w:rFonts w:ascii="Arial"/>
                <w:spacing w:val="-4"/>
                <w:sz w:val="22"/>
              </w:rPr>
              <w:t>100%</w:t>
            </w:r>
          </w:p>
        </w:tc>
      </w:tr>
      <w:tr>
        <w:trPr>
          <w:trHeight w:val="1424" w:hRule="atLeast"/>
        </w:trPr>
        <w:tc>
          <w:tcPr>
            <w:tcW w:w="5514" w:type="dxa"/>
            <w:shd w:val="clear" w:color="auto" w:fill="C0C0C0"/>
          </w:tcPr>
          <w:p>
            <w:pPr>
              <w:pStyle w:val="TableParagraph"/>
              <w:ind w:left="282" w:right="86"/>
              <w:jc w:val="both"/>
              <w:rPr>
                <w:rFonts w:ascii="Arial" w:hAnsi="Arial"/>
                <w:sz w:val="22"/>
              </w:rPr>
            </w:pPr>
            <w:r>
              <w:rPr>
                <w:rFonts w:ascii="Arial" w:hAnsi="Arial"/>
                <w:sz w:val="22"/>
              </w:rPr>
              <w:t>E3 AE4 R2 (PPPS 1.18): Estrategia de campo identificación de población estudiantil diseñada y ejecutándose que permita el acceso priorizado de población en pobreza extrema con factores de exclusión social.</w:t>
            </w:r>
          </w:p>
        </w:tc>
        <w:tc>
          <w:tcPr>
            <w:tcW w:w="2506" w:type="dxa"/>
            <w:shd w:val="clear" w:color="auto" w:fill="C0C0C0"/>
          </w:tcPr>
          <w:p>
            <w:pPr>
              <w:pStyle w:val="TableParagraph"/>
              <w:tabs>
                <w:tab w:pos="1359" w:val="left" w:leader="none"/>
              </w:tabs>
              <w:ind w:left="107" w:right="85"/>
              <w:rPr>
                <w:rFonts w:ascii="Arial"/>
                <w:sz w:val="22"/>
              </w:rPr>
            </w:pPr>
            <w:r>
              <w:rPr>
                <w:rFonts w:ascii="Arial"/>
                <w:spacing w:val="-2"/>
                <w:sz w:val="22"/>
              </w:rPr>
              <w:t>DDSE/</w:t>
            </w:r>
            <w:r>
              <w:rPr>
                <w:rFonts w:ascii="Arial"/>
                <w:sz w:val="22"/>
              </w:rPr>
              <w:tab/>
            </w:r>
            <w:r>
              <w:rPr>
                <w:rFonts w:ascii="Arial"/>
                <w:spacing w:val="-2"/>
                <w:sz w:val="22"/>
              </w:rPr>
              <w:t>DDS-</w:t>
            </w:r>
            <w:r>
              <w:rPr>
                <w:rFonts w:ascii="Arial"/>
                <w:spacing w:val="-2"/>
                <w:sz w:val="22"/>
              </w:rPr>
              <w:t>DAII-</w:t>
            </w:r>
            <w:r>
              <w:rPr>
                <w:rFonts w:ascii="Arial"/>
                <w:spacing w:val="-4"/>
                <w:sz w:val="22"/>
              </w:rPr>
              <w:t>ARDS</w:t>
            </w:r>
          </w:p>
        </w:tc>
        <w:tc>
          <w:tcPr>
            <w:tcW w:w="2739" w:type="dxa"/>
            <w:shd w:val="clear" w:color="auto" w:fill="C0C0C0"/>
          </w:tcPr>
          <w:p>
            <w:pPr>
              <w:pStyle w:val="TableParagraph"/>
              <w:spacing w:line="253" w:lineRule="exact"/>
              <w:ind w:left="106"/>
              <w:rPr>
                <w:rFonts w:ascii="Arial"/>
                <w:sz w:val="22"/>
              </w:rPr>
            </w:pPr>
            <w:r>
              <w:rPr>
                <w:rFonts w:ascii="Arial"/>
                <w:spacing w:val="-4"/>
                <w:sz w:val="22"/>
              </w:rPr>
              <w:t>100%</w:t>
            </w:r>
          </w:p>
        </w:tc>
      </w:tr>
      <w:tr>
        <w:trPr>
          <w:trHeight w:val="1677" w:hRule="atLeast"/>
        </w:trPr>
        <w:tc>
          <w:tcPr>
            <w:tcW w:w="5514" w:type="dxa"/>
          </w:tcPr>
          <w:p>
            <w:pPr>
              <w:pStyle w:val="TableParagraph"/>
              <w:ind w:left="282" w:right="86"/>
              <w:jc w:val="both"/>
              <w:rPr>
                <w:rFonts w:ascii="Arial" w:hAnsi="Arial"/>
                <w:sz w:val="22"/>
              </w:rPr>
            </w:pPr>
            <w:r>
              <w:rPr>
                <w:rFonts w:ascii="Arial" w:hAnsi="Arial"/>
                <w:sz w:val="22"/>
              </w:rPr>
              <w:t>E3 AE5 R1 (PPPS 1.19): Estrategia de desarrollo sociolaboral con enfoque prospectivo y territorial diseñada, implementada y articulada, para crear condiciones que favorezcan el empleo y</w:t>
            </w:r>
            <w:r>
              <w:rPr>
                <w:rFonts w:ascii="Arial" w:hAnsi="Arial"/>
                <w:spacing w:val="80"/>
                <w:sz w:val="22"/>
              </w:rPr>
              <w:t> </w:t>
            </w:r>
            <w:r>
              <w:rPr>
                <w:rFonts w:ascii="Arial" w:hAnsi="Arial"/>
                <w:sz w:val="22"/>
              </w:rPr>
              <w:t>autoempleo de la población en situación de</w:t>
            </w:r>
            <w:r>
              <w:rPr>
                <w:rFonts w:ascii="Arial" w:hAnsi="Arial"/>
                <w:spacing w:val="40"/>
                <w:sz w:val="22"/>
              </w:rPr>
              <w:t> </w:t>
            </w:r>
            <w:r>
              <w:rPr>
                <w:rFonts w:ascii="Arial" w:hAnsi="Arial"/>
                <w:spacing w:val="-2"/>
                <w:sz w:val="22"/>
              </w:rPr>
              <w:t>pobreza.</w:t>
            </w:r>
          </w:p>
        </w:tc>
        <w:tc>
          <w:tcPr>
            <w:tcW w:w="2506" w:type="dxa"/>
          </w:tcPr>
          <w:p>
            <w:pPr>
              <w:pStyle w:val="TableParagraph"/>
              <w:ind w:left="107"/>
              <w:rPr>
                <w:rFonts w:ascii="Arial"/>
                <w:sz w:val="22"/>
              </w:rPr>
            </w:pPr>
            <w:r>
              <w:rPr>
                <w:rFonts w:ascii="Arial"/>
                <w:sz w:val="22"/>
              </w:rPr>
              <w:t>DAII/</w:t>
            </w:r>
            <w:r>
              <w:rPr>
                <w:rFonts w:ascii="Arial"/>
                <w:spacing w:val="-11"/>
                <w:sz w:val="22"/>
              </w:rPr>
              <w:t> </w:t>
            </w:r>
            <w:r>
              <w:rPr>
                <w:rFonts w:ascii="Arial"/>
                <w:sz w:val="22"/>
              </w:rPr>
              <w:t>DDSPC-</w:t>
            </w:r>
            <w:r>
              <w:rPr>
                <w:rFonts w:ascii="Arial"/>
                <w:spacing w:val="-4"/>
                <w:sz w:val="22"/>
              </w:rPr>
              <w:t>ARDS</w:t>
            </w:r>
          </w:p>
        </w:tc>
        <w:tc>
          <w:tcPr>
            <w:tcW w:w="2739" w:type="dxa"/>
          </w:tcPr>
          <w:p>
            <w:pPr>
              <w:pStyle w:val="TableParagraph"/>
              <w:ind w:left="106"/>
              <w:rPr>
                <w:rFonts w:ascii="Arial"/>
                <w:sz w:val="22"/>
              </w:rPr>
            </w:pPr>
            <w:r>
              <w:rPr>
                <w:rFonts w:ascii="Arial"/>
                <w:spacing w:val="-4"/>
                <w:sz w:val="22"/>
              </w:rPr>
              <w:t>100%</w:t>
            </w:r>
          </w:p>
        </w:tc>
      </w:tr>
      <w:tr>
        <w:trPr>
          <w:trHeight w:val="1679" w:hRule="atLeast"/>
        </w:trPr>
        <w:tc>
          <w:tcPr>
            <w:tcW w:w="5514" w:type="dxa"/>
            <w:shd w:val="clear" w:color="auto" w:fill="C0C0C0"/>
          </w:tcPr>
          <w:p>
            <w:pPr>
              <w:pStyle w:val="TableParagraph"/>
              <w:spacing w:before="2"/>
              <w:ind w:left="282" w:right="87"/>
              <w:jc w:val="both"/>
              <w:rPr>
                <w:rFonts w:ascii="Arial" w:hAnsi="Arial"/>
                <w:sz w:val="22"/>
              </w:rPr>
            </w:pPr>
            <w:r>
              <w:rPr>
                <w:rFonts w:ascii="Arial" w:hAnsi="Arial"/>
                <w:sz w:val="22"/>
              </w:rPr>
              <w:t>E3</w:t>
            </w:r>
            <w:r>
              <w:rPr>
                <w:rFonts w:ascii="Arial" w:hAnsi="Arial"/>
                <w:spacing w:val="-8"/>
                <w:sz w:val="22"/>
              </w:rPr>
              <w:t> </w:t>
            </w:r>
            <w:r>
              <w:rPr>
                <w:rFonts w:ascii="Arial" w:hAnsi="Arial"/>
                <w:sz w:val="22"/>
              </w:rPr>
              <w:t>AE6 R1</w:t>
            </w:r>
            <w:r>
              <w:rPr>
                <w:rFonts w:ascii="Arial" w:hAnsi="Arial"/>
                <w:spacing w:val="-2"/>
                <w:sz w:val="22"/>
              </w:rPr>
              <w:t> </w:t>
            </w:r>
            <w:r>
              <w:rPr>
                <w:rFonts w:ascii="Arial" w:hAnsi="Arial"/>
                <w:sz w:val="22"/>
              </w:rPr>
              <w:t>(PPPS 1.20): Plan de acción diseñado e implementado para el desarrollo de competencias y condiciones, que contemple un sistema de apoyo financiero reembolsable y no reembolsable, a fin de lograr la inclusión de la población en pobreza en proyectos de economía azul.</w:t>
            </w:r>
          </w:p>
        </w:tc>
        <w:tc>
          <w:tcPr>
            <w:tcW w:w="2506" w:type="dxa"/>
            <w:shd w:val="clear" w:color="auto" w:fill="C0C0C0"/>
          </w:tcPr>
          <w:p>
            <w:pPr>
              <w:pStyle w:val="TableParagraph"/>
              <w:tabs>
                <w:tab w:pos="1284" w:val="left" w:leader="none"/>
              </w:tabs>
              <w:spacing w:before="2"/>
              <w:ind w:left="107" w:right="85"/>
              <w:rPr>
                <w:rFonts w:ascii="Arial"/>
                <w:sz w:val="22"/>
              </w:rPr>
            </w:pPr>
            <w:r>
              <w:rPr>
                <w:rFonts w:ascii="Arial"/>
                <w:spacing w:val="-2"/>
                <w:sz w:val="22"/>
              </w:rPr>
              <w:t>DDSPC/</w:t>
            </w:r>
            <w:r>
              <w:rPr>
                <w:rFonts w:ascii="Arial"/>
                <w:sz w:val="22"/>
              </w:rPr>
              <w:tab/>
            </w:r>
            <w:r>
              <w:rPr>
                <w:rFonts w:ascii="Arial"/>
                <w:spacing w:val="-2"/>
                <w:sz w:val="22"/>
              </w:rPr>
              <w:t>FIDEIMAS-</w:t>
            </w:r>
            <w:r>
              <w:rPr>
                <w:rFonts w:ascii="Arial"/>
                <w:spacing w:val="-4"/>
                <w:sz w:val="22"/>
              </w:rPr>
              <w:t>ARDS</w:t>
            </w:r>
          </w:p>
        </w:tc>
        <w:tc>
          <w:tcPr>
            <w:tcW w:w="2739" w:type="dxa"/>
            <w:shd w:val="clear" w:color="auto" w:fill="C0C0C0"/>
          </w:tcPr>
          <w:p>
            <w:pPr>
              <w:pStyle w:val="TableParagraph"/>
              <w:spacing w:before="2"/>
              <w:ind w:left="106"/>
              <w:rPr>
                <w:rFonts w:ascii="Arial"/>
                <w:sz w:val="22"/>
              </w:rPr>
            </w:pPr>
            <w:r>
              <w:rPr>
                <w:rFonts w:ascii="Arial"/>
                <w:spacing w:val="-4"/>
                <w:sz w:val="22"/>
              </w:rPr>
              <w:t>100%</w:t>
            </w:r>
          </w:p>
        </w:tc>
      </w:tr>
      <w:tr>
        <w:trPr>
          <w:trHeight w:val="918" w:hRule="atLeast"/>
        </w:trPr>
        <w:tc>
          <w:tcPr>
            <w:tcW w:w="5514" w:type="dxa"/>
          </w:tcPr>
          <w:p>
            <w:pPr>
              <w:pStyle w:val="TableParagraph"/>
              <w:ind w:left="282" w:right="89"/>
              <w:jc w:val="both"/>
              <w:rPr>
                <w:rFonts w:ascii="Arial" w:hAnsi="Arial"/>
                <w:sz w:val="22"/>
              </w:rPr>
            </w:pPr>
            <w:r>
              <w:rPr>
                <w:rFonts w:ascii="Arial" w:hAnsi="Arial"/>
                <w:sz w:val="22"/>
              </w:rPr>
              <w:t>E3</w:t>
            </w:r>
            <w:r>
              <w:rPr>
                <w:rFonts w:ascii="Arial" w:hAnsi="Arial"/>
                <w:spacing w:val="-14"/>
                <w:sz w:val="22"/>
              </w:rPr>
              <w:t> </w:t>
            </w:r>
            <w:r>
              <w:rPr>
                <w:rFonts w:ascii="Arial" w:hAnsi="Arial"/>
                <w:sz w:val="22"/>
              </w:rPr>
              <w:t>AE12</w:t>
            </w:r>
            <w:r>
              <w:rPr>
                <w:rFonts w:ascii="Arial" w:hAnsi="Arial"/>
                <w:spacing w:val="-3"/>
                <w:sz w:val="22"/>
              </w:rPr>
              <w:t> </w:t>
            </w:r>
            <w:r>
              <w:rPr>
                <w:rFonts w:ascii="Arial" w:hAnsi="Arial"/>
                <w:sz w:val="22"/>
              </w:rPr>
              <w:t>R1</w:t>
            </w:r>
            <w:r>
              <w:rPr>
                <w:rFonts w:ascii="Arial" w:hAnsi="Arial"/>
                <w:spacing w:val="-3"/>
                <w:sz w:val="22"/>
              </w:rPr>
              <w:t> </w:t>
            </w:r>
            <w:r>
              <w:rPr>
                <w:rFonts w:ascii="Arial" w:hAnsi="Arial"/>
                <w:sz w:val="22"/>
              </w:rPr>
              <w:t>(PPPS</w:t>
            </w:r>
            <w:r>
              <w:rPr>
                <w:rFonts w:ascii="Arial" w:hAnsi="Arial"/>
                <w:spacing w:val="-3"/>
                <w:sz w:val="22"/>
              </w:rPr>
              <w:t> </w:t>
            </w:r>
            <w:r>
              <w:rPr>
                <w:rFonts w:ascii="Arial" w:hAnsi="Arial"/>
                <w:sz w:val="22"/>
              </w:rPr>
              <w:t>1.26):</w:t>
            </w:r>
            <w:r>
              <w:rPr>
                <w:rFonts w:ascii="Arial" w:hAnsi="Arial"/>
                <w:spacing w:val="-2"/>
                <w:sz w:val="22"/>
              </w:rPr>
              <w:t> </w:t>
            </w:r>
            <w:r>
              <w:rPr>
                <w:rFonts w:ascii="Arial" w:hAnsi="Arial"/>
                <w:sz w:val="22"/>
              </w:rPr>
              <w:t>Prioridades</w:t>
            </w:r>
            <w:r>
              <w:rPr>
                <w:rFonts w:ascii="Arial" w:hAnsi="Arial"/>
                <w:spacing w:val="-3"/>
                <w:sz w:val="22"/>
              </w:rPr>
              <w:t> </w:t>
            </w:r>
            <w:r>
              <w:rPr>
                <w:rFonts w:ascii="Arial" w:hAnsi="Arial"/>
                <w:sz w:val="22"/>
              </w:rPr>
              <w:t>regionales</w:t>
            </w:r>
            <w:r>
              <w:rPr>
                <w:rFonts w:ascii="Arial" w:hAnsi="Arial"/>
                <w:spacing w:val="-5"/>
                <w:sz w:val="22"/>
              </w:rPr>
              <w:t> </w:t>
            </w:r>
            <w:r>
              <w:rPr>
                <w:rFonts w:ascii="Arial" w:hAnsi="Arial"/>
                <w:sz w:val="22"/>
              </w:rPr>
              <w:t>de infraestructura física regional y territorial </w:t>
            </w:r>
            <w:r>
              <w:rPr>
                <w:rFonts w:ascii="Arial" w:hAnsi="Arial"/>
                <w:spacing w:val="-2"/>
                <w:sz w:val="22"/>
              </w:rPr>
              <w:t>identificadas.</w:t>
            </w:r>
          </w:p>
        </w:tc>
        <w:tc>
          <w:tcPr>
            <w:tcW w:w="2506" w:type="dxa"/>
          </w:tcPr>
          <w:p>
            <w:pPr>
              <w:pStyle w:val="TableParagraph"/>
              <w:spacing w:line="253" w:lineRule="exact"/>
              <w:ind w:left="107"/>
              <w:rPr>
                <w:rFonts w:ascii="Arial"/>
                <w:sz w:val="22"/>
              </w:rPr>
            </w:pPr>
            <w:r>
              <w:rPr>
                <w:rFonts w:ascii="Arial"/>
                <w:spacing w:val="-2"/>
                <w:sz w:val="22"/>
              </w:rPr>
              <w:t>DSA-DDS-</w:t>
            </w:r>
            <w:r>
              <w:rPr>
                <w:rFonts w:ascii="Arial"/>
                <w:spacing w:val="-4"/>
                <w:sz w:val="22"/>
              </w:rPr>
              <w:t>ARDS</w:t>
            </w:r>
          </w:p>
        </w:tc>
        <w:tc>
          <w:tcPr>
            <w:tcW w:w="2739" w:type="dxa"/>
          </w:tcPr>
          <w:p>
            <w:pPr>
              <w:pStyle w:val="TableParagraph"/>
              <w:spacing w:line="253" w:lineRule="exact"/>
              <w:ind w:left="106"/>
              <w:rPr>
                <w:rFonts w:ascii="Arial"/>
                <w:sz w:val="22"/>
              </w:rPr>
            </w:pPr>
            <w:r>
              <w:rPr>
                <w:rFonts w:ascii="Arial"/>
                <w:spacing w:val="-4"/>
                <w:sz w:val="22"/>
              </w:rPr>
              <w:t>100%</w:t>
            </w:r>
          </w:p>
        </w:tc>
      </w:tr>
      <w:tr>
        <w:trPr>
          <w:trHeight w:val="1172" w:hRule="atLeast"/>
        </w:trPr>
        <w:tc>
          <w:tcPr>
            <w:tcW w:w="5514" w:type="dxa"/>
            <w:shd w:val="clear" w:color="auto" w:fill="C0C0C0"/>
          </w:tcPr>
          <w:p>
            <w:pPr>
              <w:pStyle w:val="TableParagraph"/>
              <w:ind w:left="282" w:right="87"/>
              <w:jc w:val="both"/>
              <w:rPr>
                <w:rFonts w:ascii="Arial" w:hAnsi="Arial"/>
                <w:sz w:val="22"/>
              </w:rPr>
            </w:pPr>
            <w:r>
              <w:rPr>
                <w:rFonts w:ascii="Arial" w:hAnsi="Arial"/>
                <w:sz w:val="22"/>
              </w:rPr>
              <w:t>E3 AE5 R2 (PPPS 1.28): Actividades económicas con encadenamientos primarios y secundarios operando para la generación de empleo y </w:t>
            </w:r>
            <w:r>
              <w:rPr>
                <w:rFonts w:ascii="Arial" w:hAnsi="Arial"/>
                <w:spacing w:val="-2"/>
                <w:sz w:val="22"/>
              </w:rPr>
              <w:t>autoempleo</w:t>
            </w:r>
          </w:p>
        </w:tc>
        <w:tc>
          <w:tcPr>
            <w:tcW w:w="2506" w:type="dxa"/>
            <w:shd w:val="clear" w:color="auto" w:fill="C0C0C0"/>
          </w:tcPr>
          <w:p>
            <w:pPr>
              <w:pStyle w:val="TableParagraph"/>
              <w:spacing w:line="253" w:lineRule="exact"/>
              <w:ind w:left="107"/>
              <w:rPr>
                <w:rFonts w:ascii="Arial"/>
                <w:sz w:val="22"/>
              </w:rPr>
            </w:pPr>
            <w:r>
              <w:rPr>
                <w:rFonts w:ascii="Arial"/>
                <w:spacing w:val="-2"/>
                <w:sz w:val="22"/>
              </w:rPr>
              <w:t>DSA-DDS-</w:t>
            </w:r>
            <w:r>
              <w:rPr>
                <w:rFonts w:ascii="Arial"/>
                <w:spacing w:val="-4"/>
                <w:sz w:val="22"/>
              </w:rPr>
              <w:t>ARDS</w:t>
            </w:r>
          </w:p>
        </w:tc>
        <w:tc>
          <w:tcPr>
            <w:tcW w:w="2739" w:type="dxa"/>
            <w:shd w:val="clear" w:color="auto" w:fill="C0C0C0"/>
          </w:tcPr>
          <w:p>
            <w:pPr>
              <w:pStyle w:val="TableParagraph"/>
              <w:spacing w:line="253" w:lineRule="exact"/>
              <w:ind w:left="106"/>
              <w:rPr>
                <w:rFonts w:ascii="Arial"/>
                <w:sz w:val="22"/>
              </w:rPr>
            </w:pPr>
            <w:r>
              <w:rPr>
                <w:rFonts w:ascii="Arial"/>
                <w:spacing w:val="-4"/>
                <w:sz w:val="22"/>
              </w:rPr>
              <w:t>100%</w:t>
            </w:r>
          </w:p>
        </w:tc>
      </w:tr>
    </w:tbl>
    <w:p>
      <w:pPr>
        <w:pStyle w:val="TableParagraph"/>
        <w:spacing w:after="0" w:line="253" w:lineRule="exact"/>
        <w:rPr>
          <w:rFonts w:ascii="Arial"/>
          <w:sz w:val="22"/>
        </w:rPr>
        <w:sectPr>
          <w:headerReference w:type="default" r:id="rId69"/>
          <w:footerReference w:type="default" r:id="rId70"/>
          <w:pgSz w:w="13370" w:h="17280"/>
          <w:pgMar w:header="0" w:footer="927" w:top="340" w:bottom="1120" w:left="1275" w:right="992"/>
        </w:sectPr>
      </w:pPr>
    </w:p>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14"/>
        <w:gridCol w:w="2506"/>
        <w:gridCol w:w="2739"/>
      </w:tblGrid>
      <w:tr>
        <w:trPr>
          <w:trHeight w:val="1624" w:hRule="atLeast"/>
        </w:trPr>
        <w:tc>
          <w:tcPr>
            <w:tcW w:w="5514" w:type="dxa"/>
          </w:tcPr>
          <w:p>
            <w:pPr>
              <w:pStyle w:val="TableParagraph"/>
              <w:spacing w:line="278" w:lineRule="auto"/>
              <w:ind w:left="282" w:right="87"/>
              <w:jc w:val="both"/>
              <w:rPr>
                <w:rFonts w:ascii="Arial" w:hAnsi="Arial"/>
                <w:sz w:val="22"/>
              </w:rPr>
            </w:pPr>
            <w:r>
              <w:rPr>
                <w:rFonts w:ascii="Arial" w:hAnsi="Arial"/>
                <w:sz w:val="22"/>
              </w:rPr>
              <w:t>E3AE3R1 (PPPS 1.15): Atención integral institucional ajustada a requerimientos y necesidades de la población infantil y juvenil con la finalidad de que se promuevan condiciones de promoción 9social para estas poblaciones.</w:t>
            </w:r>
          </w:p>
        </w:tc>
        <w:tc>
          <w:tcPr>
            <w:tcW w:w="2506" w:type="dxa"/>
          </w:tcPr>
          <w:p>
            <w:pPr>
              <w:pStyle w:val="TableParagraph"/>
              <w:tabs>
                <w:tab w:pos="1321" w:val="left" w:leader="none"/>
              </w:tabs>
              <w:spacing w:line="280" w:lineRule="auto"/>
              <w:ind w:left="107" w:right="85"/>
              <w:rPr>
                <w:rFonts w:ascii="Arial"/>
                <w:sz w:val="22"/>
              </w:rPr>
            </w:pPr>
            <w:r>
              <w:rPr>
                <w:rFonts w:ascii="Arial"/>
                <w:spacing w:val="-4"/>
                <w:sz w:val="22"/>
              </w:rPr>
              <w:t>DDSE</w:t>
            </w:r>
            <w:r>
              <w:rPr>
                <w:rFonts w:ascii="Arial"/>
                <w:sz w:val="22"/>
              </w:rPr>
              <w:tab/>
            </w:r>
            <w:r>
              <w:rPr>
                <w:rFonts w:ascii="Arial"/>
                <w:spacing w:val="-2"/>
                <w:sz w:val="22"/>
              </w:rPr>
              <w:t>/DAII-</w:t>
            </w:r>
            <w:r>
              <w:rPr>
                <w:rFonts w:ascii="Arial"/>
                <w:spacing w:val="-2"/>
                <w:sz w:val="22"/>
              </w:rPr>
              <w:t>DBF-</w:t>
            </w:r>
            <w:r>
              <w:rPr>
                <w:rFonts w:ascii="Arial"/>
                <w:spacing w:val="-4"/>
                <w:sz w:val="22"/>
              </w:rPr>
              <w:t>ARDS</w:t>
            </w:r>
          </w:p>
        </w:tc>
        <w:tc>
          <w:tcPr>
            <w:tcW w:w="2739" w:type="dxa"/>
          </w:tcPr>
          <w:p>
            <w:pPr>
              <w:pStyle w:val="TableParagraph"/>
              <w:spacing w:before="2"/>
              <w:ind w:left="106"/>
              <w:rPr>
                <w:rFonts w:ascii="Arial"/>
                <w:sz w:val="22"/>
              </w:rPr>
            </w:pPr>
            <w:r>
              <w:rPr>
                <w:rFonts w:ascii="Arial"/>
                <w:spacing w:val="-5"/>
                <w:sz w:val="22"/>
              </w:rPr>
              <w:t>50%</w:t>
            </w:r>
          </w:p>
        </w:tc>
      </w:tr>
      <w:tr>
        <w:trPr>
          <w:trHeight w:val="1626" w:hRule="atLeast"/>
        </w:trPr>
        <w:tc>
          <w:tcPr>
            <w:tcW w:w="5514" w:type="dxa"/>
            <w:shd w:val="clear" w:color="auto" w:fill="C0C0C0"/>
          </w:tcPr>
          <w:p>
            <w:pPr>
              <w:pStyle w:val="TableParagraph"/>
              <w:spacing w:line="278" w:lineRule="auto" w:before="2"/>
              <w:ind w:left="282" w:right="86"/>
              <w:jc w:val="both"/>
              <w:rPr>
                <w:rFonts w:ascii="Arial" w:hAnsi="Arial"/>
                <w:sz w:val="22"/>
              </w:rPr>
            </w:pPr>
            <w:r>
              <w:rPr>
                <w:rFonts w:ascii="Arial" w:hAnsi="Arial"/>
                <w:sz w:val="22"/>
              </w:rPr>
              <w:t>E3</w:t>
            </w:r>
            <w:r>
              <w:rPr>
                <w:rFonts w:ascii="Arial" w:hAnsi="Arial"/>
                <w:spacing w:val="-13"/>
                <w:sz w:val="22"/>
              </w:rPr>
              <w:t> </w:t>
            </w:r>
            <w:r>
              <w:rPr>
                <w:rFonts w:ascii="Arial" w:hAnsi="Arial"/>
                <w:sz w:val="22"/>
              </w:rPr>
              <w:t>AE9</w:t>
            </w:r>
            <w:r>
              <w:rPr>
                <w:rFonts w:ascii="Arial" w:hAnsi="Arial"/>
                <w:spacing w:val="-2"/>
                <w:sz w:val="22"/>
              </w:rPr>
              <w:t> </w:t>
            </w:r>
            <w:r>
              <w:rPr>
                <w:rFonts w:ascii="Arial" w:hAnsi="Arial"/>
                <w:sz w:val="22"/>
              </w:rPr>
              <w:t>R1</w:t>
            </w:r>
            <w:r>
              <w:rPr>
                <w:rFonts w:ascii="Arial" w:hAnsi="Arial"/>
                <w:spacing w:val="-2"/>
                <w:sz w:val="22"/>
              </w:rPr>
              <w:t> </w:t>
            </w:r>
            <w:r>
              <w:rPr>
                <w:rFonts w:ascii="Arial" w:hAnsi="Arial"/>
                <w:sz w:val="22"/>
              </w:rPr>
              <w:t>(PPPS</w:t>
            </w:r>
            <w:r>
              <w:rPr>
                <w:rFonts w:ascii="Arial" w:hAnsi="Arial"/>
                <w:spacing w:val="-3"/>
                <w:sz w:val="22"/>
              </w:rPr>
              <w:t> </w:t>
            </w:r>
            <w:r>
              <w:rPr>
                <w:rFonts w:ascii="Arial" w:hAnsi="Arial"/>
                <w:sz w:val="22"/>
              </w:rPr>
              <w:t>1.22):</w:t>
            </w:r>
            <w:r>
              <w:rPr>
                <w:rFonts w:ascii="Arial" w:hAnsi="Arial"/>
                <w:spacing w:val="-3"/>
                <w:sz w:val="22"/>
              </w:rPr>
              <w:t> </w:t>
            </w:r>
            <w:r>
              <w:rPr>
                <w:rFonts w:ascii="Arial" w:hAnsi="Arial"/>
                <w:sz w:val="22"/>
              </w:rPr>
              <w:t>UIPER</w:t>
            </w:r>
            <w:r>
              <w:rPr>
                <w:rFonts w:ascii="Arial" w:hAnsi="Arial"/>
                <w:spacing w:val="-3"/>
                <w:sz w:val="22"/>
              </w:rPr>
              <w:t> </w:t>
            </w:r>
            <w:r>
              <w:rPr>
                <w:rFonts w:ascii="Arial" w:hAnsi="Arial"/>
                <w:sz w:val="22"/>
              </w:rPr>
              <w:t>posicionadas</w:t>
            </w:r>
            <w:r>
              <w:rPr>
                <w:rFonts w:ascii="Arial" w:hAnsi="Arial"/>
                <w:spacing w:val="-2"/>
                <w:sz w:val="22"/>
              </w:rPr>
              <w:t> </w:t>
            </w:r>
            <w:r>
              <w:rPr>
                <w:rFonts w:ascii="Arial" w:hAnsi="Arial"/>
                <w:sz w:val="22"/>
              </w:rPr>
              <w:t>como entes especializados para la articulación en espacios regionales y locales, que promuevan la inclusión social de la población en situación de </w:t>
            </w:r>
            <w:r>
              <w:rPr>
                <w:rFonts w:ascii="Arial" w:hAnsi="Arial"/>
                <w:spacing w:val="-2"/>
                <w:sz w:val="22"/>
              </w:rPr>
              <w:t>pobreza.</w:t>
            </w:r>
          </w:p>
        </w:tc>
        <w:tc>
          <w:tcPr>
            <w:tcW w:w="2506" w:type="dxa"/>
            <w:shd w:val="clear" w:color="auto" w:fill="C0C0C0"/>
          </w:tcPr>
          <w:p>
            <w:pPr>
              <w:pStyle w:val="TableParagraph"/>
              <w:spacing w:before="2"/>
              <w:ind w:left="107"/>
              <w:rPr>
                <w:rFonts w:ascii="Arial"/>
                <w:sz w:val="22"/>
              </w:rPr>
            </w:pPr>
            <w:r>
              <w:rPr>
                <w:rFonts w:ascii="Arial"/>
                <w:spacing w:val="-2"/>
                <w:sz w:val="22"/>
              </w:rPr>
              <w:t>UIPER/</w:t>
            </w:r>
            <w:r>
              <w:rPr>
                <w:rFonts w:ascii="Arial"/>
                <w:sz w:val="22"/>
              </w:rPr>
              <w:t> </w:t>
            </w:r>
            <w:r>
              <w:rPr>
                <w:rFonts w:ascii="Arial"/>
                <w:spacing w:val="-2"/>
                <w:sz w:val="22"/>
              </w:rPr>
              <w:t>ARDS-</w:t>
            </w:r>
            <w:r>
              <w:rPr>
                <w:rFonts w:ascii="Arial"/>
                <w:spacing w:val="-5"/>
                <w:sz w:val="22"/>
              </w:rPr>
              <w:t>DDS</w:t>
            </w:r>
          </w:p>
        </w:tc>
        <w:tc>
          <w:tcPr>
            <w:tcW w:w="2739" w:type="dxa"/>
            <w:shd w:val="clear" w:color="auto" w:fill="C0C0C0"/>
          </w:tcPr>
          <w:p>
            <w:pPr>
              <w:pStyle w:val="TableParagraph"/>
              <w:spacing w:before="4"/>
              <w:ind w:left="106"/>
              <w:rPr>
                <w:rFonts w:ascii="Arial"/>
                <w:sz w:val="22"/>
              </w:rPr>
            </w:pPr>
            <w:r>
              <w:rPr>
                <w:rFonts w:ascii="Arial"/>
                <w:spacing w:val="-5"/>
                <w:sz w:val="22"/>
              </w:rPr>
              <w:t>50%</w:t>
            </w:r>
          </w:p>
        </w:tc>
      </w:tr>
      <w:tr>
        <w:trPr>
          <w:trHeight w:val="1331" w:hRule="atLeast"/>
        </w:trPr>
        <w:tc>
          <w:tcPr>
            <w:tcW w:w="5514" w:type="dxa"/>
          </w:tcPr>
          <w:p>
            <w:pPr>
              <w:pStyle w:val="TableParagraph"/>
              <w:spacing w:line="278" w:lineRule="auto"/>
              <w:ind w:left="282" w:right="89"/>
              <w:jc w:val="both"/>
              <w:rPr>
                <w:rFonts w:ascii="Arial" w:hAnsi="Arial"/>
                <w:sz w:val="22"/>
              </w:rPr>
            </w:pPr>
            <w:r>
              <w:rPr>
                <w:rFonts w:ascii="Arial" w:hAnsi="Arial"/>
                <w:sz w:val="22"/>
              </w:rPr>
              <w:t>E3</w:t>
            </w:r>
            <w:r>
              <w:rPr>
                <w:rFonts w:ascii="Arial" w:hAnsi="Arial"/>
                <w:spacing w:val="-2"/>
                <w:sz w:val="22"/>
              </w:rPr>
              <w:t> </w:t>
            </w:r>
            <w:r>
              <w:rPr>
                <w:rFonts w:ascii="Arial" w:hAnsi="Arial"/>
                <w:sz w:val="22"/>
              </w:rPr>
              <w:t>AE11 R2 (PPPS 1.25): Sistemas de información utilizados en la atención de la población objetivo, adaptados para realizar atención itinerante en territorios sin conectividad.</w:t>
            </w:r>
          </w:p>
        </w:tc>
        <w:tc>
          <w:tcPr>
            <w:tcW w:w="2506" w:type="dxa"/>
          </w:tcPr>
          <w:p>
            <w:pPr>
              <w:pStyle w:val="TableParagraph"/>
              <w:spacing w:before="2"/>
              <w:ind w:left="107"/>
              <w:rPr>
                <w:rFonts w:ascii="Arial"/>
                <w:sz w:val="22"/>
              </w:rPr>
            </w:pPr>
            <w:r>
              <w:rPr>
                <w:rFonts w:ascii="Arial"/>
                <w:sz w:val="22"/>
              </w:rPr>
              <w:t>DSIS/</w:t>
            </w:r>
            <w:r>
              <w:rPr>
                <w:rFonts w:ascii="Arial"/>
                <w:spacing w:val="-7"/>
                <w:sz w:val="22"/>
              </w:rPr>
              <w:t> </w:t>
            </w:r>
            <w:r>
              <w:rPr>
                <w:rFonts w:ascii="Arial"/>
                <w:sz w:val="22"/>
              </w:rPr>
              <w:t>DDS-</w:t>
            </w:r>
            <w:r>
              <w:rPr>
                <w:rFonts w:ascii="Arial"/>
                <w:spacing w:val="-5"/>
                <w:sz w:val="22"/>
              </w:rPr>
              <w:t>TI</w:t>
            </w:r>
          </w:p>
        </w:tc>
        <w:tc>
          <w:tcPr>
            <w:tcW w:w="2739" w:type="dxa"/>
          </w:tcPr>
          <w:p>
            <w:pPr>
              <w:pStyle w:val="TableParagraph"/>
              <w:spacing w:before="2"/>
              <w:ind w:left="106"/>
              <w:rPr>
                <w:rFonts w:ascii="Arial"/>
                <w:sz w:val="22"/>
              </w:rPr>
            </w:pPr>
            <w:r>
              <w:rPr>
                <w:rFonts w:ascii="Arial"/>
                <w:spacing w:val="-5"/>
                <w:sz w:val="22"/>
              </w:rPr>
              <w:t>50%</w:t>
            </w:r>
          </w:p>
        </w:tc>
      </w:tr>
    </w:tbl>
    <w:p>
      <w:pPr>
        <w:pStyle w:val="BodyText"/>
        <w:spacing w:before="122"/>
        <w:rPr>
          <w:b/>
          <w:sz w:val="18"/>
        </w:rPr>
      </w:pPr>
    </w:p>
    <w:p>
      <w:pPr>
        <w:spacing w:before="0"/>
        <w:ind w:left="216" w:right="437" w:firstLine="0"/>
        <w:jc w:val="center"/>
        <w:rPr>
          <w:sz w:val="18"/>
        </w:rPr>
      </w:pPr>
      <w:r>
        <w:rPr>
          <w:sz w:val="18"/>
        </w:rPr>
        <w:t>Fuente:</w:t>
      </w:r>
      <w:r>
        <w:rPr>
          <w:spacing w:val="-4"/>
          <w:sz w:val="18"/>
        </w:rPr>
        <w:t> </w:t>
      </w:r>
      <w:r>
        <w:rPr>
          <w:sz w:val="18"/>
        </w:rPr>
        <w:t>Registros</w:t>
      </w:r>
      <w:r>
        <w:rPr>
          <w:spacing w:val="-2"/>
          <w:sz w:val="18"/>
        </w:rPr>
        <w:t> </w:t>
      </w:r>
      <w:r>
        <w:rPr>
          <w:sz w:val="18"/>
        </w:rPr>
        <w:t>en</w:t>
      </w:r>
      <w:r>
        <w:rPr>
          <w:spacing w:val="-3"/>
          <w:sz w:val="18"/>
        </w:rPr>
        <w:t> </w:t>
      </w:r>
      <w:r>
        <w:rPr>
          <w:sz w:val="18"/>
        </w:rPr>
        <w:t>la</w:t>
      </w:r>
      <w:r>
        <w:rPr>
          <w:spacing w:val="-4"/>
          <w:sz w:val="18"/>
        </w:rPr>
        <w:t> </w:t>
      </w:r>
      <w:r>
        <w:rPr>
          <w:sz w:val="18"/>
        </w:rPr>
        <w:t>herramienta</w:t>
      </w:r>
      <w:r>
        <w:rPr>
          <w:spacing w:val="-3"/>
          <w:sz w:val="18"/>
        </w:rPr>
        <w:t> </w:t>
      </w:r>
      <w:r>
        <w:rPr>
          <w:sz w:val="18"/>
        </w:rPr>
        <w:t>DELPHOS-informe</w:t>
      </w:r>
      <w:r>
        <w:rPr>
          <w:spacing w:val="-5"/>
          <w:sz w:val="18"/>
        </w:rPr>
        <w:t> </w:t>
      </w:r>
      <w:r>
        <w:rPr>
          <w:sz w:val="18"/>
        </w:rPr>
        <w:t>anual</w:t>
      </w:r>
      <w:r>
        <w:rPr>
          <w:spacing w:val="-3"/>
          <w:sz w:val="18"/>
        </w:rPr>
        <w:t> </w:t>
      </w:r>
      <w:r>
        <w:rPr>
          <w:sz w:val="18"/>
        </w:rPr>
        <w:t>POI-POGE</w:t>
      </w:r>
      <w:r>
        <w:rPr>
          <w:spacing w:val="-3"/>
          <w:sz w:val="18"/>
        </w:rPr>
        <w:t> </w:t>
      </w:r>
      <w:r>
        <w:rPr>
          <w:spacing w:val="-4"/>
          <w:sz w:val="18"/>
        </w:rPr>
        <w:t>2024</w:t>
      </w:r>
    </w:p>
    <w:p>
      <w:pPr>
        <w:pStyle w:val="BodyText"/>
        <w:rPr>
          <w:sz w:val="18"/>
        </w:rPr>
      </w:pPr>
    </w:p>
    <w:p>
      <w:pPr>
        <w:pStyle w:val="BodyText"/>
        <w:rPr>
          <w:sz w:val="18"/>
        </w:rPr>
      </w:pPr>
    </w:p>
    <w:p>
      <w:pPr>
        <w:pStyle w:val="BodyText"/>
        <w:spacing w:before="105"/>
        <w:rPr>
          <w:sz w:val="18"/>
        </w:rPr>
      </w:pPr>
    </w:p>
    <w:p>
      <w:pPr>
        <w:pStyle w:val="BodyText"/>
        <w:ind w:left="165" w:right="385"/>
        <w:jc w:val="both"/>
      </w:pPr>
      <w:r>
        <w:rPr/>
        <w:t>En este primer subgrupo de resultados se identifica la misma característica señalada para el Eje Estratégico # 2, que radica que las unidades administrativas, tanto, la responsables y corresponsables, son de la Dirección de Desarrollo Social, con una coordinación eficiente entre ellas; reiterando como una buena práctica a considerar en la ejecución de otros ejes.</w:t>
      </w:r>
    </w:p>
    <w:p>
      <w:pPr>
        <w:pStyle w:val="BodyText"/>
      </w:pPr>
    </w:p>
    <w:p>
      <w:pPr>
        <w:pStyle w:val="BodyText"/>
        <w:ind w:left="165" w:right="386"/>
        <w:jc w:val="both"/>
      </w:pPr>
      <w:r>
        <w:rPr/>
        <w:t>Es importante resaltar la importancia de contar con la ficha de indicador el cual es un instrumento que sirve de guía para conocer y tener presente el alcance del indicador y de los otros elementos que comprenden la programación. De tal manera que para el PEI se recomienda retomar este tema, para:</w:t>
      </w:r>
    </w:p>
    <w:p>
      <w:pPr>
        <w:pStyle w:val="BodyText"/>
        <w:spacing w:before="1"/>
      </w:pPr>
    </w:p>
    <w:p>
      <w:pPr>
        <w:pStyle w:val="ListParagraph"/>
        <w:numPr>
          <w:ilvl w:val="0"/>
          <w:numId w:val="12"/>
        </w:numPr>
        <w:tabs>
          <w:tab w:pos="885" w:val="left" w:leader="none"/>
        </w:tabs>
        <w:spacing w:line="240" w:lineRule="auto" w:before="0" w:after="0"/>
        <w:ind w:left="885" w:right="397" w:hanging="360"/>
        <w:jc w:val="both"/>
        <w:rPr>
          <w:sz w:val="24"/>
        </w:rPr>
      </w:pPr>
      <w:r>
        <w:rPr>
          <w:sz w:val="24"/>
        </w:rPr>
        <w:t>Tener claridad cuales ejes estratégicos tiene todas las fichas de los indicadores hechas y enviadas en forma oficial a Planificación Institucional</w:t>
      </w:r>
    </w:p>
    <w:p>
      <w:pPr>
        <w:pStyle w:val="ListParagraph"/>
        <w:numPr>
          <w:ilvl w:val="0"/>
          <w:numId w:val="12"/>
        </w:numPr>
        <w:tabs>
          <w:tab w:pos="885" w:val="left" w:leader="none"/>
        </w:tabs>
        <w:spacing w:line="237" w:lineRule="auto" w:before="0" w:after="0"/>
        <w:ind w:left="885" w:right="394" w:hanging="360"/>
        <w:jc w:val="both"/>
        <w:rPr>
          <w:sz w:val="24"/>
        </w:rPr>
      </w:pPr>
      <w:r>
        <w:rPr>
          <w:sz w:val="24"/>
        </w:rPr>
        <w:t>Cuales Ejes requieren revisarlas para su actualización y su entrega a Planificación </w:t>
      </w:r>
      <w:r>
        <w:rPr>
          <w:spacing w:val="-2"/>
          <w:sz w:val="24"/>
        </w:rPr>
        <w:t>Instituciona.</w:t>
      </w:r>
    </w:p>
    <w:p>
      <w:pPr>
        <w:pStyle w:val="BodyText"/>
      </w:pPr>
    </w:p>
    <w:p>
      <w:pPr>
        <w:pStyle w:val="BodyText"/>
        <w:ind w:left="165"/>
        <w:jc w:val="both"/>
      </w:pPr>
      <w:r>
        <w:rPr/>
        <w:t>Con</w:t>
      </w:r>
      <w:r>
        <w:rPr>
          <w:spacing w:val="-4"/>
        </w:rPr>
        <w:t> </w:t>
      </w:r>
      <w:r>
        <w:rPr/>
        <w:t>esta</w:t>
      </w:r>
      <w:r>
        <w:rPr>
          <w:spacing w:val="-3"/>
        </w:rPr>
        <w:t> </w:t>
      </w:r>
      <w:r>
        <w:rPr/>
        <w:t>laborar</w:t>
      </w:r>
      <w:r>
        <w:rPr>
          <w:spacing w:val="-3"/>
        </w:rPr>
        <w:t> </w:t>
      </w:r>
      <w:r>
        <w:rPr/>
        <w:t>de</w:t>
      </w:r>
      <w:r>
        <w:rPr>
          <w:spacing w:val="-3"/>
        </w:rPr>
        <w:t> </w:t>
      </w:r>
      <w:r>
        <w:rPr/>
        <w:t>actualización</w:t>
      </w:r>
      <w:r>
        <w:rPr>
          <w:spacing w:val="-4"/>
        </w:rPr>
        <w:t> </w:t>
      </w:r>
      <w:r>
        <w:rPr/>
        <w:t>se</w:t>
      </w:r>
      <w:r>
        <w:rPr>
          <w:spacing w:val="-4"/>
        </w:rPr>
        <w:t> </w:t>
      </w:r>
      <w:r>
        <w:rPr/>
        <w:t>prevé evitar</w:t>
      </w:r>
      <w:r>
        <w:rPr>
          <w:spacing w:val="-3"/>
        </w:rPr>
        <w:t> </w:t>
      </w:r>
      <w:r>
        <w:rPr/>
        <w:t>confusiones</w:t>
      </w:r>
      <w:r>
        <w:rPr>
          <w:spacing w:val="-3"/>
        </w:rPr>
        <w:t> </w:t>
      </w:r>
      <w:r>
        <w:rPr/>
        <w:t>como las</w:t>
      </w:r>
      <w:r>
        <w:rPr>
          <w:spacing w:val="-3"/>
        </w:rPr>
        <w:t> </w:t>
      </w:r>
      <w:r>
        <w:rPr/>
        <w:t>surgidas</w:t>
      </w:r>
      <w:r>
        <w:rPr>
          <w:spacing w:val="-3"/>
        </w:rPr>
        <w:t> </w:t>
      </w:r>
      <w:r>
        <w:rPr/>
        <w:t>en</w:t>
      </w:r>
      <w:r>
        <w:rPr>
          <w:spacing w:val="-3"/>
        </w:rPr>
        <w:t> </w:t>
      </w:r>
      <w:r>
        <w:rPr/>
        <w:t>el</w:t>
      </w:r>
      <w:r>
        <w:rPr>
          <w:spacing w:val="-2"/>
        </w:rPr>
        <w:t> resultado</w:t>
      </w:r>
    </w:p>
    <w:p>
      <w:pPr>
        <w:pStyle w:val="BodyText"/>
        <w:spacing w:before="2"/>
      </w:pPr>
    </w:p>
    <w:p>
      <w:pPr>
        <w:pStyle w:val="ListParagraph"/>
        <w:numPr>
          <w:ilvl w:val="0"/>
          <w:numId w:val="12"/>
        </w:numPr>
        <w:tabs>
          <w:tab w:pos="885" w:val="left" w:leader="none"/>
        </w:tabs>
        <w:spacing w:line="240" w:lineRule="auto" w:before="0" w:after="0"/>
        <w:ind w:left="885" w:right="392" w:hanging="360"/>
        <w:jc w:val="both"/>
        <w:rPr>
          <w:sz w:val="24"/>
        </w:rPr>
      </w:pPr>
      <w:r>
        <w:rPr>
          <w:sz w:val="24"/>
          <w:u w:val="single"/>
        </w:rPr>
        <w:t>E3AE3R1 (PPPS 1.15): Atención integral institucional ajustada a requerimientos y</w:t>
      </w:r>
      <w:r>
        <w:rPr>
          <w:sz w:val="24"/>
          <w:u w:val="none"/>
        </w:rPr>
        <w:t> </w:t>
      </w:r>
      <w:r>
        <w:rPr>
          <w:sz w:val="24"/>
          <w:u w:val="single"/>
        </w:rPr>
        <w:t>necesidades de la población infantil y juvenil con la finalidad de que se promuevan</w:t>
      </w:r>
      <w:r>
        <w:rPr>
          <w:sz w:val="24"/>
          <w:u w:val="none"/>
        </w:rPr>
        <w:t> </w:t>
      </w:r>
      <w:r>
        <w:rPr>
          <w:sz w:val="24"/>
          <w:u w:val="single"/>
        </w:rPr>
        <w:t>condiciones de promoción social para estas poblaciones</w:t>
      </w:r>
      <w:r>
        <w:rPr>
          <w:sz w:val="24"/>
          <w:u w:val="none"/>
        </w:rPr>
        <w:t>.</w:t>
      </w:r>
    </w:p>
    <w:p>
      <w:pPr>
        <w:pStyle w:val="BodyText"/>
        <w:spacing w:before="274"/>
        <w:ind w:left="165" w:right="385"/>
        <w:jc w:val="both"/>
      </w:pPr>
      <w:r>
        <w:rPr/>
        <w:t>Debido a que se registró como una limitación en el seguimiento del POI-POGE 2024 vinculado al PEI con corte II trimestre “No se disponía de la ficha técnica del indicador PEI asociado a esta actividad, situación que limitó en parte el avance de los procesos contenidos en la actividad. "Lo anterior contradice la información que archiva Planificación Institucional, porque las fichas del Eje Estratégico # 3 las envió la DDS en enero del presente año (2024), de ahí la medida de administración no tiene vinculación con la limitación antes descrita.</w:t>
      </w:r>
    </w:p>
    <w:p>
      <w:pPr>
        <w:pStyle w:val="BodyText"/>
      </w:pPr>
    </w:p>
    <w:p>
      <w:pPr>
        <w:pStyle w:val="BodyText"/>
      </w:pPr>
    </w:p>
    <w:p>
      <w:pPr>
        <w:pStyle w:val="BodyText"/>
        <w:ind w:left="165" w:right="383"/>
        <w:jc w:val="both"/>
      </w:pPr>
      <w:r>
        <w:rPr/>
        <w:t>El segundo subgrupo, se caracteriza por un avance crítico, compuesto por 9 resultados como se muestra en el siguiente cuadro</w:t>
      </w:r>
    </w:p>
    <w:p>
      <w:pPr>
        <w:pStyle w:val="BodyText"/>
        <w:spacing w:after="0"/>
        <w:jc w:val="both"/>
        <w:sectPr>
          <w:headerReference w:type="default" r:id="rId71"/>
          <w:footerReference w:type="default" r:id="rId72"/>
          <w:pgSz w:w="13370" w:h="17280"/>
          <w:pgMar w:header="0" w:footer="969" w:top="400" w:bottom="1160" w:left="1275" w:right="992"/>
        </w:sectPr>
      </w:pPr>
    </w:p>
    <w:p>
      <w:pPr>
        <w:spacing w:before="77"/>
        <w:ind w:left="215" w:right="437" w:firstLine="0"/>
        <w:jc w:val="center"/>
        <w:rPr>
          <w:b/>
          <w:sz w:val="22"/>
        </w:rPr>
      </w:pPr>
      <w:r>
        <w:rPr>
          <w:b/>
          <w:sz w:val="22"/>
        </w:rPr>
        <w:t>Cuadro</w:t>
      </w:r>
      <w:r>
        <w:rPr>
          <w:b/>
          <w:spacing w:val="-4"/>
          <w:sz w:val="22"/>
        </w:rPr>
        <w:t> </w:t>
      </w:r>
      <w:r>
        <w:rPr>
          <w:b/>
          <w:sz w:val="22"/>
        </w:rPr>
        <w:t>#</w:t>
      </w:r>
      <w:r>
        <w:rPr>
          <w:b/>
          <w:spacing w:val="-1"/>
          <w:sz w:val="22"/>
        </w:rPr>
        <w:t> </w:t>
      </w:r>
      <w:r>
        <w:rPr>
          <w:b/>
          <w:spacing w:val="-7"/>
          <w:sz w:val="22"/>
        </w:rPr>
        <w:t>4.</w:t>
      </w:r>
    </w:p>
    <w:p>
      <w:pPr>
        <w:spacing w:line="360" w:lineRule="auto" w:before="127"/>
        <w:ind w:left="969" w:right="1194" w:firstLine="0"/>
        <w:jc w:val="center"/>
        <w:rPr>
          <w:b/>
          <w:sz w:val="22"/>
        </w:rPr>
      </w:pPr>
      <w:r>
        <w:rPr>
          <w:b/>
          <w:sz w:val="22"/>
        </w:rPr>
        <w:t>Subgrupo</w:t>
      </w:r>
      <w:r>
        <w:rPr>
          <w:b/>
          <w:spacing w:val="-4"/>
          <w:sz w:val="22"/>
        </w:rPr>
        <w:t> </w:t>
      </w:r>
      <w:r>
        <w:rPr>
          <w:b/>
          <w:sz w:val="22"/>
        </w:rPr>
        <w:t>de</w:t>
      </w:r>
      <w:r>
        <w:rPr>
          <w:b/>
          <w:spacing w:val="-4"/>
          <w:sz w:val="22"/>
        </w:rPr>
        <w:t> </w:t>
      </w:r>
      <w:r>
        <w:rPr>
          <w:b/>
          <w:sz w:val="22"/>
        </w:rPr>
        <w:t>productos</w:t>
      </w:r>
      <w:r>
        <w:rPr>
          <w:b/>
          <w:spacing w:val="-4"/>
          <w:sz w:val="22"/>
        </w:rPr>
        <w:t> </w:t>
      </w:r>
      <w:r>
        <w:rPr>
          <w:b/>
          <w:sz w:val="22"/>
        </w:rPr>
        <w:t>vinculados</w:t>
      </w:r>
      <w:r>
        <w:rPr>
          <w:b/>
          <w:spacing w:val="-4"/>
          <w:sz w:val="22"/>
        </w:rPr>
        <w:t> </w:t>
      </w:r>
      <w:r>
        <w:rPr>
          <w:b/>
          <w:sz w:val="22"/>
        </w:rPr>
        <w:t>al</w:t>
      </w:r>
      <w:r>
        <w:rPr>
          <w:b/>
          <w:spacing w:val="-2"/>
          <w:sz w:val="22"/>
        </w:rPr>
        <w:t> </w:t>
      </w:r>
      <w:r>
        <w:rPr>
          <w:b/>
          <w:sz w:val="22"/>
        </w:rPr>
        <w:t>Plan</w:t>
      </w:r>
      <w:r>
        <w:rPr>
          <w:b/>
          <w:spacing w:val="-4"/>
          <w:sz w:val="22"/>
        </w:rPr>
        <w:t> </w:t>
      </w:r>
      <w:r>
        <w:rPr>
          <w:b/>
          <w:sz w:val="22"/>
        </w:rPr>
        <w:t>Estratégico</w:t>
      </w:r>
      <w:r>
        <w:rPr>
          <w:b/>
          <w:spacing w:val="-6"/>
          <w:sz w:val="22"/>
        </w:rPr>
        <w:t> </w:t>
      </w:r>
      <w:r>
        <w:rPr>
          <w:b/>
          <w:sz w:val="22"/>
        </w:rPr>
        <w:t>Institucional</w:t>
      </w:r>
      <w:r>
        <w:rPr>
          <w:b/>
          <w:spacing w:val="-1"/>
          <w:sz w:val="22"/>
        </w:rPr>
        <w:t> </w:t>
      </w:r>
      <w:r>
        <w:rPr>
          <w:b/>
          <w:sz w:val="22"/>
        </w:rPr>
        <w:t>-PEI</w:t>
      </w:r>
      <w:r>
        <w:rPr>
          <w:b/>
          <w:spacing w:val="-2"/>
          <w:sz w:val="22"/>
        </w:rPr>
        <w:t> </w:t>
      </w:r>
      <w:r>
        <w:rPr>
          <w:b/>
          <w:sz w:val="22"/>
        </w:rPr>
        <w:t>2023-2028, en estado</w:t>
      </w:r>
      <w:r>
        <w:rPr>
          <w:b/>
          <w:spacing w:val="40"/>
          <w:sz w:val="22"/>
        </w:rPr>
        <w:t> </w:t>
      </w:r>
      <w:r>
        <w:rPr>
          <w:b/>
          <w:sz w:val="22"/>
        </w:rPr>
        <w:t>de avance critico I semestre del PEI 2023-2028.</w:t>
      </w:r>
    </w:p>
    <w:p>
      <w:pPr>
        <w:pStyle w:val="BodyText"/>
        <w:spacing w:before="148" w:after="1"/>
        <w:rPr>
          <w:b/>
          <w:sz w:val="20"/>
        </w:rPr>
      </w:pPr>
    </w:p>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14"/>
        <w:gridCol w:w="2506"/>
        <w:gridCol w:w="2739"/>
      </w:tblGrid>
      <w:tr>
        <w:trPr>
          <w:trHeight w:val="1333" w:hRule="atLeast"/>
        </w:trPr>
        <w:tc>
          <w:tcPr>
            <w:tcW w:w="5514" w:type="dxa"/>
            <w:tcBorders>
              <w:bottom w:val="single" w:sz="18" w:space="0" w:color="000000"/>
            </w:tcBorders>
          </w:tcPr>
          <w:p>
            <w:pPr>
              <w:pStyle w:val="TableParagraph"/>
              <w:spacing w:before="2"/>
              <w:ind w:left="195"/>
              <w:jc w:val="center"/>
              <w:rPr>
                <w:rFonts w:ascii="Arial"/>
                <w:b/>
                <w:sz w:val="22"/>
              </w:rPr>
            </w:pPr>
            <w:r>
              <w:rPr>
                <w:rFonts w:ascii="Arial"/>
                <w:b/>
                <w:spacing w:val="-2"/>
                <w:sz w:val="22"/>
              </w:rPr>
              <w:t>Producto</w:t>
            </w:r>
          </w:p>
        </w:tc>
        <w:tc>
          <w:tcPr>
            <w:tcW w:w="2506" w:type="dxa"/>
            <w:tcBorders>
              <w:bottom w:val="single" w:sz="18" w:space="0" w:color="000000"/>
            </w:tcBorders>
          </w:tcPr>
          <w:p>
            <w:pPr>
              <w:pStyle w:val="TableParagraph"/>
              <w:spacing w:before="2"/>
              <w:ind w:left="565"/>
              <w:rPr>
                <w:rFonts w:ascii="Arial"/>
                <w:b/>
                <w:sz w:val="22"/>
              </w:rPr>
            </w:pPr>
            <w:r>
              <w:rPr>
                <w:rFonts w:ascii="Arial"/>
                <w:b/>
                <w:spacing w:val="-2"/>
                <w:sz w:val="22"/>
              </w:rPr>
              <w:t>Responsable</w:t>
            </w:r>
          </w:p>
        </w:tc>
        <w:tc>
          <w:tcPr>
            <w:tcW w:w="2739" w:type="dxa"/>
            <w:tcBorders>
              <w:bottom w:val="single" w:sz="18" w:space="0" w:color="000000"/>
            </w:tcBorders>
          </w:tcPr>
          <w:p>
            <w:pPr>
              <w:pStyle w:val="TableParagraph"/>
              <w:spacing w:line="278" w:lineRule="auto" w:before="2"/>
              <w:ind w:left="106" w:right="85"/>
              <w:jc w:val="both"/>
              <w:rPr>
                <w:rFonts w:ascii="Arial"/>
                <w:b/>
                <w:sz w:val="22"/>
              </w:rPr>
            </w:pPr>
            <w:r>
              <w:rPr>
                <w:rFonts w:ascii="Arial"/>
                <w:b/>
                <w:sz w:val="22"/>
              </w:rPr>
              <w:t>Porcentaje de avance para el periodo I semestre del PEI 2023-</w:t>
            </w:r>
            <w:r>
              <w:rPr>
                <w:rFonts w:ascii="Arial"/>
                <w:b/>
                <w:spacing w:val="-2"/>
                <w:sz w:val="22"/>
              </w:rPr>
              <w:t>2028.</w:t>
            </w:r>
          </w:p>
        </w:tc>
      </w:tr>
      <w:tr>
        <w:trPr>
          <w:trHeight w:val="1424" w:hRule="atLeast"/>
        </w:trPr>
        <w:tc>
          <w:tcPr>
            <w:tcW w:w="5514" w:type="dxa"/>
            <w:tcBorders>
              <w:top w:val="single" w:sz="18" w:space="0" w:color="000000"/>
            </w:tcBorders>
            <w:shd w:val="clear" w:color="auto" w:fill="C0C0C0"/>
          </w:tcPr>
          <w:p>
            <w:pPr>
              <w:pStyle w:val="TableParagraph"/>
              <w:ind w:left="282" w:right="88"/>
              <w:jc w:val="both"/>
              <w:rPr>
                <w:rFonts w:ascii="Arial" w:hAnsi="Arial"/>
                <w:sz w:val="22"/>
              </w:rPr>
            </w:pPr>
            <w:r>
              <w:rPr>
                <w:rFonts w:ascii="Arial" w:hAnsi="Arial"/>
                <w:sz w:val="22"/>
              </w:rPr>
              <w:t>E3</w:t>
            </w:r>
            <w:r>
              <w:rPr>
                <w:rFonts w:ascii="Arial" w:hAnsi="Arial"/>
                <w:spacing w:val="-9"/>
                <w:sz w:val="22"/>
              </w:rPr>
              <w:t> </w:t>
            </w:r>
            <w:r>
              <w:rPr>
                <w:rFonts w:ascii="Arial" w:hAnsi="Arial"/>
                <w:sz w:val="22"/>
              </w:rPr>
              <w:t>AE1 R1</w:t>
            </w:r>
            <w:r>
              <w:rPr>
                <w:rFonts w:ascii="Arial" w:hAnsi="Arial"/>
                <w:spacing w:val="-2"/>
                <w:sz w:val="22"/>
              </w:rPr>
              <w:t> </w:t>
            </w:r>
            <w:r>
              <w:rPr>
                <w:rFonts w:ascii="Arial" w:hAnsi="Arial"/>
                <w:sz w:val="22"/>
              </w:rPr>
              <w:t>(PPPS 1.11): Estrategia de participación ciudadana diseñada, homologada, oficializada e implementada que implique la rendición de cuentas y consulta a la población objetivo a fin de procurar</w:t>
            </w:r>
            <w:r>
              <w:rPr>
                <w:rFonts w:ascii="Arial" w:hAnsi="Arial"/>
                <w:spacing w:val="40"/>
                <w:sz w:val="22"/>
              </w:rPr>
              <w:t> </w:t>
            </w:r>
            <w:r>
              <w:rPr>
                <w:rFonts w:ascii="Arial" w:hAnsi="Arial"/>
                <w:sz w:val="22"/>
              </w:rPr>
              <w:t>la transparencia en la gestión institucional.</w:t>
            </w:r>
          </w:p>
        </w:tc>
        <w:tc>
          <w:tcPr>
            <w:tcW w:w="2506" w:type="dxa"/>
            <w:tcBorders>
              <w:top w:val="single" w:sz="18" w:space="0" w:color="000000"/>
            </w:tcBorders>
            <w:shd w:val="clear" w:color="auto" w:fill="C0C0C0"/>
          </w:tcPr>
          <w:p>
            <w:pPr>
              <w:pStyle w:val="TableParagraph"/>
              <w:tabs>
                <w:tab w:pos="1383" w:val="left" w:leader="none"/>
              </w:tabs>
              <w:ind w:left="107" w:right="85"/>
              <w:rPr>
                <w:rFonts w:ascii="Arial"/>
                <w:sz w:val="22"/>
              </w:rPr>
            </w:pPr>
            <w:r>
              <w:rPr>
                <w:rFonts w:ascii="Arial"/>
                <w:spacing w:val="-2"/>
                <w:sz w:val="22"/>
              </w:rPr>
              <w:t>DDSE/</w:t>
            </w:r>
            <w:r>
              <w:rPr>
                <w:rFonts w:ascii="Arial"/>
                <w:sz w:val="22"/>
              </w:rPr>
              <w:tab/>
            </w:r>
            <w:r>
              <w:rPr>
                <w:rFonts w:ascii="Arial"/>
                <w:spacing w:val="-2"/>
                <w:sz w:val="22"/>
              </w:rPr>
              <w:t>DAII-</w:t>
            </w:r>
            <w:r>
              <w:rPr>
                <w:rFonts w:ascii="Arial"/>
                <w:spacing w:val="-2"/>
                <w:sz w:val="22"/>
              </w:rPr>
              <w:t>DBF-</w:t>
            </w:r>
            <w:r>
              <w:rPr>
                <w:rFonts w:ascii="Arial"/>
                <w:spacing w:val="-4"/>
                <w:sz w:val="22"/>
              </w:rPr>
              <w:t>ARDS</w:t>
            </w:r>
          </w:p>
        </w:tc>
        <w:tc>
          <w:tcPr>
            <w:tcW w:w="2739" w:type="dxa"/>
            <w:tcBorders>
              <w:top w:val="single" w:sz="18" w:space="0" w:color="000000"/>
            </w:tcBorders>
            <w:shd w:val="clear" w:color="auto" w:fill="C0C0C0"/>
          </w:tcPr>
          <w:p>
            <w:pPr>
              <w:pStyle w:val="TableParagraph"/>
              <w:spacing w:line="252" w:lineRule="exact"/>
              <w:ind w:left="106"/>
              <w:rPr>
                <w:rFonts w:ascii="Arial"/>
                <w:sz w:val="22"/>
              </w:rPr>
            </w:pPr>
            <w:r>
              <w:rPr>
                <w:rFonts w:ascii="Arial"/>
                <w:spacing w:val="-5"/>
                <w:sz w:val="22"/>
              </w:rPr>
              <w:t>O%-</w:t>
            </w:r>
          </w:p>
        </w:tc>
      </w:tr>
      <w:tr>
        <w:trPr>
          <w:trHeight w:val="1424" w:hRule="atLeast"/>
        </w:trPr>
        <w:tc>
          <w:tcPr>
            <w:tcW w:w="5514" w:type="dxa"/>
          </w:tcPr>
          <w:p>
            <w:pPr>
              <w:pStyle w:val="TableParagraph"/>
              <w:ind w:left="282" w:right="88"/>
              <w:jc w:val="both"/>
              <w:rPr>
                <w:rFonts w:ascii="Arial" w:hAnsi="Arial"/>
                <w:sz w:val="22"/>
              </w:rPr>
            </w:pPr>
            <w:r>
              <w:rPr>
                <w:rFonts w:ascii="Arial" w:hAnsi="Arial"/>
                <w:sz w:val="22"/>
              </w:rPr>
              <w:t>E3AE1R2 (PPPS 1.12): Planes regionales formulados considerando los insumos de las rendiciones de cuenta y consultas a la población objetivo que permitan generar valor público. E3</w:t>
            </w:r>
            <w:r>
              <w:rPr>
                <w:rFonts w:ascii="Arial" w:hAnsi="Arial"/>
                <w:spacing w:val="-11"/>
                <w:sz w:val="22"/>
              </w:rPr>
              <w:t> </w:t>
            </w:r>
            <w:r>
              <w:rPr>
                <w:rFonts w:ascii="Arial" w:hAnsi="Arial"/>
                <w:sz w:val="22"/>
              </w:rPr>
              <w:t>AE1 </w:t>
            </w:r>
            <w:r>
              <w:rPr>
                <w:rFonts w:ascii="Arial" w:hAnsi="Arial"/>
                <w:spacing w:val="-6"/>
                <w:sz w:val="22"/>
              </w:rPr>
              <w:t>R2</w:t>
            </w:r>
          </w:p>
        </w:tc>
        <w:tc>
          <w:tcPr>
            <w:tcW w:w="2506" w:type="dxa"/>
          </w:tcPr>
          <w:p>
            <w:pPr>
              <w:pStyle w:val="TableParagraph"/>
              <w:tabs>
                <w:tab w:pos="1016" w:val="left" w:leader="none"/>
              </w:tabs>
              <w:ind w:left="107" w:right="85"/>
              <w:rPr>
                <w:rFonts w:ascii="Arial"/>
                <w:sz w:val="22"/>
              </w:rPr>
            </w:pPr>
            <w:r>
              <w:rPr>
                <w:rFonts w:ascii="Arial"/>
                <w:spacing w:val="-2"/>
                <w:sz w:val="22"/>
              </w:rPr>
              <w:t>DDSE/</w:t>
            </w:r>
            <w:r>
              <w:rPr>
                <w:rFonts w:ascii="Arial"/>
                <w:sz w:val="22"/>
              </w:rPr>
              <w:tab/>
            </w:r>
            <w:r>
              <w:rPr>
                <w:rFonts w:ascii="Arial"/>
                <w:spacing w:val="-2"/>
                <w:sz w:val="22"/>
              </w:rPr>
              <w:t>DAII-PE-</w:t>
            </w:r>
            <w:r>
              <w:rPr>
                <w:rFonts w:ascii="Arial"/>
                <w:spacing w:val="-2"/>
                <w:sz w:val="22"/>
              </w:rPr>
              <w:t>DBF-DDSE-ARDS</w:t>
            </w:r>
          </w:p>
        </w:tc>
        <w:tc>
          <w:tcPr>
            <w:tcW w:w="2739" w:type="dxa"/>
          </w:tcPr>
          <w:p>
            <w:pPr>
              <w:pStyle w:val="TableParagraph"/>
              <w:spacing w:line="253" w:lineRule="exact"/>
              <w:ind w:left="106"/>
              <w:rPr>
                <w:rFonts w:ascii="Arial"/>
                <w:sz w:val="22"/>
              </w:rPr>
            </w:pPr>
            <w:r>
              <w:rPr>
                <w:rFonts w:ascii="Arial"/>
                <w:spacing w:val="-5"/>
                <w:sz w:val="22"/>
              </w:rPr>
              <w:t>0%-</w:t>
            </w:r>
          </w:p>
        </w:tc>
      </w:tr>
      <w:tr>
        <w:trPr>
          <w:trHeight w:val="1679" w:hRule="atLeast"/>
        </w:trPr>
        <w:tc>
          <w:tcPr>
            <w:tcW w:w="5514" w:type="dxa"/>
            <w:shd w:val="clear" w:color="auto" w:fill="C0C0C0"/>
          </w:tcPr>
          <w:p>
            <w:pPr>
              <w:pStyle w:val="TableParagraph"/>
              <w:ind w:left="282" w:right="88"/>
              <w:jc w:val="both"/>
              <w:rPr>
                <w:rFonts w:ascii="Arial" w:hAnsi="Arial"/>
                <w:sz w:val="22"/>
              </w:rPr>
            </w:pPr>
            <w:r>
              <w:rPr>
                <w:rFonts w:ascii="Arial" w:hAnsi="Arial"/>
                <w:sz w:val="22"/>
              </w:rPr>
              <w:t>E3AE3R2 (PPPS 1.16):</w:t>
            </w:r>
            <w:r>
              <w:rPr>
                <w:rFonts w:ascii="Arial" w:hAnsi="Arial"/>
                <w:spacing w:val="-3"/>
                <w:sz w:val="22"/>
              </w:rPr>
              <w:t> </w:t>
            </w:r>
            <w:r>
              <w:rPr>
                <w:rFonts w:ascii="Arial" w:hAnsi="Arial"/>
                <w:sz w:val="22"/>
              </w:rPr>
              <w:t>Mecanismos</w:t>
            </w:r>
            <w:r>
              <w:rPr>
                <w:rFonts w:ascii="Arial" w:hAnsi="Arial"/>
                <w:spacing w:val="-2"/>
                <w:sz w:val="22"/>
              </w:rPr>
              <w:t> </w:t>
            </w:r>
            <w:r>
              <w:rPr>
                <w:rFonts w:ascii="Arial" w:hAnsi="Arial"/>
                <w:sz w:val="22"/>
              </w:rPr>
              <w:t>de</w:t>
            </w:r>
            <w:r>
              <w:rPr>
                <w:rFonts w:ascii="Arial" w:hAnsi="Arial"/>
                <w:spacing w:val="-2"/>
                <w:sz w:val="22"/>
              </w:rPr>
              <w:t> </w:t>
            </w:r>
            <w:r>
              <w:rPr>
                <w:rFonts w:ascii="Arial" w:hAnsi="Arial"/>
                <w:sz w:val="22"/>
              </w:rPr>
              <w:t>articulación interinstitucional diseñados e implementados que promuevan</w:t>
            </w:r>
            <w:r>
              <w:rPr>
                <w:rFonts w:ascii="Arial" w:hAnsi="Arial"/>
                <w:spacing w:val="-2"/>
                <w:sz w:val="22"/>
              </w:rPr>
              <w:t> </w:t>
            </w:r>
            <w:r>
              <w:rPr>
                <w:rFonts w:ascii="Arial" w:hAnsi="Arial"/>
                <w:sz w:val="22"/>
              </w:rPr>
              <w:t>la</w:t>
            </w:r>
            <w:r>
              <w:rPr>
                <w:rFonts w:ascii="Arial" w:hAnsi="Arial"/>
                <w:spacing w:val="-2"/>
                <w:sz w:val="22"/>
              </w:rPr>
              <w:t> </w:t>
            </w:r>
            <w:r>
              <w:rPr>
                <w:rFonts w:ascii="Arial" w:hAnsi="Arial"/>
                <w:sz w:val="22"/>
              </w:rPr>
              <w:t>formación</w:t>
            </w:r>
            <w:r>
              <w:rPr>
                <w:rFonts w:ascii="Arial" w:hAnsi="Arial"/>
                <w:spacing w:val="-4"/>
                <w:sz w:val="22"/>
              </w:rPr>
              <w:t> </w:t>
            </w:r>
            <w:r>
              <w:rPr>
                <w:rFonts w:ascii="Arial" w:hAnsi="Arial"/>
                <w:sz w:val="22"/>
              </w:rPr>
              <w:t>integral dirigida a</w:t>
            </w:r>
            <w:r>
              <w:rPr>
                <w:rFonts w:ascii="Arial" w:hAnsi="Arial"/>
                <w:spacing w:val="-2"/>
                <w:sz w:val="22"/>
              </w:rPr>
              <w:t> </w:t>
            </w:r>
            <w:r>
              <w:rPr>
                <w:rFonts w:ascii="Arial" w:hAnsi="Arial"/>
                <w:sz w:val="22"/>
              </w:rPr>
              <w:t>la</w:t>
            </w:r>
            <w:r>
              <w:rPr>
                <w:rFonts w:ascii="Arial" w:hAnsi="Arial"/>
                <w:spacing w:val="-2"/>
                <w:sz w:val="22"/>
              </w:rPr>
              <w:t> </w:t>
            </w:r>
            <w:r>
              <w:rPr>
                <w:rFonts w:ascii="Arial" w:hAnsi="Arial"/>
                <w:sz w:val="22"/>
              </w:rPr>
              <w:t>niñez y juventud en situación de pobreza, con la finalidad</w:t>
            </w:r>
            <w:r>
              <w:rPr>
                <w:rFonts w:ascii="Arial" w:hAnsi="Arial"/>
                <w:spacing w:val="40"/>
                <w:sz w:val="22"/>
              </w:rPr>
              <w:t> </w:t>
            </w:r>
            <w:r>
              <w:rPr>
                <w:rFonts w:ascii="Arial" w:hAnsi="Arial"/>
                <w:sz w:val="22"/>
              </w:rPr>
              <w:t>de crear condiciones de promoción social en estas </w:t>
            </w:r>
            <w:r>
              <w:rPr>
                <w:rFonts w:ascii="Arial" w:hAnsi="Arial"/>
                <w:spacing w:val="-2"/>
                <w:sz w:val="22"/>
              </w:rPr>
              <w:t>poblaciones.</w:t>
            </w:r>
          </w:p>
        </w:tc>
        <w:tc>
          <w:tcPr>
            <w:tcW w:w="2506" w:type="dxa"/>
            <w:shd w:val="clear" w:color="auto" w:fill="C0C0C0"/>
          </w:tcPr>
          <w:p>
            <w:pPr>
              <w:pStyle w:val="TableParagraph"/>
              <w:tabs>
                <w:tab w:pos="1016" w:val="left" w:leader="none"/>
              </w:tabs>
              <w:ind w:left="107" w:right="85"/>
              <w:rPr>
                <w:rFonts w:ascii="Arial"/>
                <w:sz w:val="22"/>
              </w:rPr>
            </w:pPr>
            <w:r>
              <w:rPr>
                <w:rFonts w:ascii="Arial"/>
                <w:spacing w:val="-2"/>
                <w:sz w:val="22"/>
              </w:rPr>
              <w:t>DDSE/</w:t>
            </w:r>
            <w:r>
              <w:rPr>
                <w:rFonts w:ascii="Arial"/>
                <w:sz w:val="22"/>
              </w:rPr>
              <w:tab/>
            </w:r>
            <w:r>
              <w:rPr>
                <w:rFonts w:ascii="Arial"/>
                <w:spacing w:val="-2"/>
                <w:sz w:val="22"/>
              </w:rPr>
              <w:t>DAII-PE-</w:t>
            </w:r>
            <w:r>
              <w:rPr>
                <w:rFonts w:ascii="Arial"/>
                <w:spacing w:val="-2"/>
                <w:sz w:val="22"/>
              </w:rPr>
              <w:t>DBF-DDSE-ARDS</w:t>
            </w:r>
          </w:p>
        </w:tc>
        <w:tc>
          <w:tcPr>
            <w:tcW w:w="2739" w:type="dxa"/>
            <w:shd w:val="clear" w:color="auto" w:fill="C0C0C0"/>
          </w:tcPr>
          <w:p>
            <w:pPr>
              <w:pStyle w:val="TableParagraph"/>
              <w:spacing w:line="253" w:lineRule="exact"/>
              <w:ind w:left="106"/>
              <w:rPr>
                <w:rFonts w:ascii="Arial"/>
                <w:sz w:val="22"/>
              </w:rPr>
            </w:pPr>
            <w:r>
              <w:rPr>
                <w:rFonts w:ascii="Arial"/>
                <w:spacing w:val="-2"/>
                <w:sz w:val="22"/>
              </w:rPr>
              <w:t>22.50%</w:t>
            </w:r>
          </w:p>
        </w:tc>
      </w:tr>
      <w:tr>
        <w:trPr>
          <w:trHeight w:val="1424" w:hRule="atLeast"/>
        </w:trPr>
        <w:tc>
          <w:tcPr>
            <w:tcW w:w="5514" w:type="dxa"/>
          </w:tcPr>
          <w:p>
            <w:pPr>
              <w:pStyle w:val="TableParagraph"/>
              <w:ind w:left="282" w:right="89"/>
              <w:jc w:val="both"/>
              <w:rPr>
                <w:rFonts w:ascii="Arial" w:hAnsi="Arial"/>
                <w:sz w:val="22"/>
              </w:rPr>
            </w:pPr>
            <w:r>
              <w:rPr>
                <w:rFonts w:ascii="Arial" w:hAnsi="Arial"/>
                <w:sz w:val="22"/>
              </w:rPr>
              <w:t>E3</w:t>
            </w:r>
            <w:r>
              <w:rPr>
                <w:rFonts w:ascii="Arial" w:hAnsi="Arial"/>
                <w:spacing w:val="-16"/>
                <w:sz w:val="22"/>
              </w:rPr>
              <w:t> </w:t>
            </w:r>
            <w:r>
              <w:rPr>
                <w:rFonts w:ascii="Arial" w:hAnsi="Arial"/>
                <w:sz w:val="22"/>
              </w:rPr>
              <w:t>AE8</w:t>
            </w:r>
            <w:r>
              <w:rPr>
                <w:rFonts w:ascii="Arial" w:hAnsi="Arial"/>
                <w:spacing w:val="-4"/>
                <w:sz w:val="22"/>
              </w:rPr>
              <w:t> </w:t>
            </w:r>
            <w:r>
              <w:rPr>
                <w:rFonts w:ascii="Arial" w:hAnsi="Arial"/>
                <w:sz w:val="22"/>
              </w:rPr>
              <w:t>R1</w:t>
            </w:r>
            <w:r>
              <w:rPr>
                <w:rFonts w:ascii="Arial" w:hAnsi="Arial"/>
                <w:spacing w:val="-5"/>
                <w:sz w:val="22"/>
              </w:rPr>
              <w:t> </w:t>
            </w:r>
            <w:r>
              <w:rPr>
                <w:rFonts w:ascii="Arial" w:hAnsi="Arial"/>
                <w:sz w:val="22"/>
              </w:rPr>
              <w:t>(PPPS</w:t>
            </w:r>
            <w:r>
              <w:rPr>
                <w:rFonts w:ascii="Arial" w:hAnsi="Arial"/>
                <w:spacing w:val="-5"/>
                <w:sz w:val="22"/>
              </w:rPr>
              <w:t> </w:t>
            </w:r>
            <w:r>
              <w:rPr>
                <w:rFonts w:ascii="Arial" w:hAnsi="Arial"/>
                <w:sz w:val="22"/>
              </w:rPr>
              <w:t>1.21):</w:t>
            </w:r>
            <w:r>
              <w:rPr>
                <w:rFonts w:ascii="Arial" w:hAnsi="Arial"/>
                <w:spacing w:val="-6"/>
                <w:sz w:val="22"/>
              </w:rPr>
              <w:t> </w:t>
            </w:r>
            <w:r>
              <w:rPr>
                <w:rFonts w:ascii="Arial" w:hAnsi="Arial"/>
                <w:sz w:val="22"/>
              </w:rPr>
              <w:t>Unidades</w:t>
            </w:r>
            <w:r>
              <w:rPr>
                <w:rFonts w:ascii="Arial" w:hAnsi="Arial"/>
                <w:spacing w:val="-4"/>
                <w:sz w:val="22"/>
              </w:rPr>
              <w:t> </w:t>
            </w:r>
            <w:r>
              <w:rPr>
                <w:rFonts w:ascii="Arial" w:hAnsi="Arial"/>
                <w:sz w:val="22"/>
              </w:rPr>
              <w:t>de</w:t>
            </w:r>
            <w:r>
              <w:rPr>
                <w:rFonts w:ascii="Arial" w:hAnsi="Arial"/>
                <w:spacing w:val="-5"/>
                <w:sz w:val="22"/>
              </w:rPr>
              <w:t> </w:t>
            </w:r>
            <w:r>
              <w:rPr>
                <w:rFonts w:ascii="Arial" w:hAnsi="Arial"/>
                <w:sz w:val="22"/>
              </w:rPr>
              <w:t>investigación, planificación y evaluación fortalecidas con recursos humanos y tecnológicos y con procedimientos actualizados para desarrollar estrategias integrales</w:t>
            </w:r>
            <w:r>
              <w:rPr>
                <w:rFonts w:ascii="Arial" w:hAnsi="Arial"/>
                <w:spacing w:val="40"/>
                <w:sz w:val="22"/>
              </w:rPr>
              <w:t> </w:t>
            </w:r>
            <w:r>
              <w:rPr>
                <w:rFonts w:ascii="Arial" w:hAnsi="Arial"/>
                <w:sz w:val="22"/>
              </w:rPr>
              <w:t>a nivel regional y territorial.</w:t>
            </w:r>
          </w:p>
        </w:tc>
        <w:tc>
          <w:tcPr>
            <w:tcW w:w="2506" w:type="dxa"/>
          </w:tcPr>
          <w:p>
            <w:pPr>
              <w:pStyle w:val="TableParagraph"/>
              <w:spacing w:line="253" w:lineRule="exact"/>
              <w:ind w:left="107"/>
              <w:rPr>
                <w:rFonts w:ascii="Arial"/>
                <w:sz w:val="22"/>
              </w:rPr>
            </w:pPr>
            <w:r>
              <w:rPr>
                <w:rFonts w:ascii="Arial"/>
                <w:spacing w:val="-2"/>
                <w:sz w:val="22"/>
              </w:rPr>
              <w:t>DDS-GG/</w:t>
            </w:r>
            <w:r>
              <w:rPr>
                <w:rFonts w:ascii="Arial"/>
                <w:spacing w:val="-3"/>
                <w:sz w:val="22"/>
              </w:rPr>
              <w:t> </w:t>
            </w:r>
            <w:r>
              <w:rPr>
                <w:rFonts w:ascii="Arial"/>
                <w:spacing w:val="-4"/>
                <w:sz w:val="22"/>
              </w:rPr>
              <w:t>ARDS</w:t>
            </w:r>
          </w:p>
        </w:tc>
        <w:tc>
          <w:tcPr>
            <w:tcW w:w="2739" w:type="dxa"/>
          </w:tcPr>
          <w:p>
            <w:pPr>
              <w:pStyle w:val="TableParagraph"/>
              <w:spacing w:line="253" w:lineRule="exact"/>
              <w:ind w:left="106"/>
              <w:rPr>
                <w:rFonts w:ascii="Arial"/>
                <w:sz w:val="22"/>
              </w:rPr>
            </w:pPr>
            <w:r>
              <w:rPr>
                <w:rFonts w:ascii="Arial"/>
                <w:spacing w:val="-5"/>
                <w:sz w:val="22"/>
              </w:rPr>
              <w:t>0%</w:t>
            </w:r>
          </w:p>
        </w:tc>
      </w:tr>
      <w:tr>
        <w:trPr>
          <w:trHeight w:val="1677" w:hRule="atLeast"/>
        </w:trPr>
        <w:tc>
          <w:tcPr>
            <w:tcW w:w="5514" w:type="dxa"/>
            <w:shd w:val="clear" w:color="auto" w:fill="C0C0C0"/>
          </w:tcPr>
          <w:p>
            <w:pPr>
              <w:pStyle w:val="TableParagraph"/>
              <w:ind w:left="282" w:right="89"/>
              <w:jc w:val="both"/>
              <w:rPr>
                <w:rFonts w:ascii="Arial" w:hAnsi="Arial"/>
                <w:sz w:val="22"/>
              </w:rPr>
            </w:pPr>
            <w:r>
              <w:rPr>
                <w:rFonts w:ascii="Arial" w:hAnsi="Arial"/>
                <w:sz w:val="22"/>
              </w:rPr>
              <w:t>E3 AE10 R1 (PPPS 1.23): Metodología diseñada e implementada para la elaboración de estudios de la realidad social y económica, regional y territorial, que genere los insumos necesarios para facilitar la orientación de la inversión y el desarrollo de la</w:t>
            </w:r>
            <w:r>
              <w:rPr>
                <w:rFonts w:ascii="Arial" w:hAnsi="Arial"/>
                <w:spacing w:val="40"/>
                <w:sz w:val="22"/>
              </w:rPr>
              <w:t> </w:t>
            </w:r>
            <w:r>
              <w:rPr>
                <w:rFonts w:ascii="Arial" w:hAnsi="Arial"/>
                <w:sz w:val="22"/>
              </w:rPr>
              <w:t>oferta programática.</w:t>
            </w:r>
          </w:p>
        </w:tc>
        <w:tc>
          <w:tcPr>
            <w:tcW w:w="2506" w:type="dxa"/>
            <w:shd w:val="clear" w:color="auto" w:fill="C0C0C0"/>
          </w:tcPr>
          <w:p>
            <w:pPr>
              <w:pStyle w:val="TableParagraph"/>
              <w:spacing w:line="252" w:lineRule="exact"/>
              <w:ind w:left="107"/>
              <w:rPr>
                <w:rFonts w:ascii="Arial"/>
                <w:sz w:val="22"/>
              </w:rPr>
            </w:pPr>
            <w:r>
              <w:rPr>
                <w:rFonts w:ascii="Arial"/>
                <w:sz w:val="22"/>
              </w:rPr>
              <w:t>PI-</w:t>
            </w:r>
            <w:r>
              <w:rPr>
                <w:rFonts w:ascii="Arial"/>
                <w:spacing w:val="-2"/>
                <w:sz w:val="22"/>
              </w:rPr>
              <w:t>UIPER/</w:t>
            </w:r>
          </w:p>
          <w:p>
            <w:pPr>
              <w:pStyle w:val="TableParagraph"/>
              <w:spacing w:line="252" w:lineRule="exact"/>
              <w:ind w:left="107"/>
              <w:rPr>
                <w:rFonts w:ascii="Arial"/>
                <w:sz w:val="22"/>
              </w:rPr>
            </w:pPr>
            <w:r>
              <w:rPr>
                <w:rFonts w:ascii="Arial"/>
                <w:spacing w:val="-2"/>
                <w:sz w:val="22"/>
              </w:rPr>
              <w:t>DSIS-SINIRUBE</w:t>
            </w:r>
          </w:p>
        </w:tc>
        <w:tc>
          <w:tcPr>
            <w:tcW w:w="2739" w:type="dxa"/>
            <w:shd w:val="clear" w:color="auto" w:fill="C0C0C0"/>
          </w:tcPr>
          <w:p>
            <w:pPr>
              <w:pStyle w:val="TableParagraph"/>
              <w:spacing w:line="253" w:lineRule="exact"/>
              <w:ind w:left="106"/>
              <w:rPr>
                <w:rFonts w:ascii="Arial"/>
                <w:sz w:val="22"/>
              </w:rPr>
            </w:pPr>
            <w:r>
              <w:rPr>
                <w:rFonts w:ascii="Arial"/>
                <w:spacing w:val="-5"/>
                <w:sz w:val="22"/>
              </w:rPr>
              <w:t>O%</w:t>
            </w:r>
          </w:p>
        </w:tc>
      </w:tr>
      <w:tr>
        <w:trPr>
          <w:trHeight w:val="1172" w:hRule="atLeast"/>
        </w:trPr>
        <w:tc>
          <w:tcPr>
            <w:tcW w:w="5514" w:type="dxa"/>
          </w:tcPr>
          <w:p>
            <w:pPr>
              <w:pStyle w:val="TableParagraph"/>
              <w:ind w:left="282" w:right="88"/>
              <w:jc w:val="both"/>
              <w:rPr>
                <w:rFonts w:ascii="Arial" w:hAnsi="Arial"/>
                <w:sz w:val="22"/>
              </w:rPr>
            </w:pPr>
            <w:r>
              <w:rPr>
                <w:rFonts w:ascii="Arial" w:hAnsi="Arial"/>
                <w:sz w:val="22"/>
              </w:rPr>
              <w:t>E3 AE11 R 1 (PPPS 1.24): Áreas Regionales con equipamiento tecnológico que responda a las necesidades que demandan los nuevos procesos</w:t>
            </w:r>
            <w:r>
              <w:rPr>
                <w:rFonts w:ascii="Arial" w:hAnsi="Arial"/>
                <w:spacing w:val="40"/>
                <w:sz w:val="22"/>
              </w:rPr>
              <w:t> </w:t>
            </w:r>
            <w:r>
              <w:rPr>
                <w:rFonts w:ascii="Arial" w:hAnsi="Arial"/>
                <w:sz w:val="22"/>
              </w:rPr>
              <w:t>de atención en los territorios.</w:t>
            </w:r>
          </w:p>
        </w:tc>
        <w:tc>
          <w:tcPr>
            <w:tcW w:w="2506" w:type="dxa"/>
          </w:tcPr>
          <w:p>
            <w:pPr>
              <w:pStyle w:val="TableParagraph"/>
              <w:tabs>
                <w:tab w:pos="1604" w:val="left" w:leader="none"/>
              </w:tabs>
              <w:ind w:left="107" w:right="85"/>
              <w:rPr>
                <w:rFonts w:ascii="Arial"/>
                <w:sz w:val="22"/>
              </w:rPr>
            </w:pPr>
            <w:r>
              <w:rPr>
                <w:rFonts w:ascii="Arial"/>
                <w:spacing w:val="-2"/>
                <w:sz w:val="22"/>
              </w:rPr>
              <w:t>DDS-GG/</w:t>
            </w:r>
            <w:r>
              <w:rPr>
                <w:rFonts w:ascii="Arial"/>
                <w:sz w:val="22"/>
              </w:rPr>
              <w:tab/>
            </w:r>
            <w:r>
              <w:rPr>
                <w:rFonts w:ascii="Arial"/>
                <w:spacing w:val="-2"/>
                <w:sz w:val="22"/>
              </w:rPr>
              <w:t>TI-</w:t>
            </w:r>
            <w:r>
              <w:rPr>
                <w:rFonts w:ascii="Arial"/>
                <w:spacing w:val="-2"/>
                <w:sz w:val="22"/>
              </w:rPr>
              <w:t>DSA-</w:t>
            </w:r>
            <w:r>
              <w:rPr>
                <w:rFonts w:ascii="Arial"/>
                <w:spacing w:val="-4"/>
                <w:sz w:val="22"/>
              </w:rPr>
              <w:t>DSIS</w:t>
            </w:r>
          </w:p>
        </w:tc>
        <w:tc>
          <w:tcPr>
            <w:tcW w:w="2739" w:type="dxa"/>
          </w:tcPr>
          <w:p>
            <w:pPr>
              <w:pStyle w:val="TableParagraph"/>
              <w:spacing w:line="253" w:lineRule="exact"/>
              <w:ind w:left="106"/>
              <w:rPr>
                <w:rFonts w:ascii="Arial"/>
                <w:sz w:val="22"/>
              </w:rPr>
            </w:pPr>
            <w:r>
              <w:rPr>
                <w:rFonts w:ascii="Arial"/>
                <w:spacing w:val="-5"/>
                <w:sz w:val="22"/>
              </w:rPr>
              <w:t>0%</w:t>
            </w:r>
          </w:p>
        </w:tc>
      </w:tr>
      <w:tr>
        <w:trPr>
          <w:trHeight w:val="1624" w:hRule="atLeast"/>
        </w:trPr>
        <w:tc>
          <w:tcPr>
            <w:tcW w:w="5514" w:type="dxa"/>
            <w:shd w:val="clear" w:color="auto" w:fill="C0C0C0"/>
          </w:tcPr>
          <w:p>
            <w:pPr>
              <w:pStyle w:val="TableParagraph"/>
              <w:spacing w:line="278" w:lineRule="auto"/>
              <w:ind w:left="282" w:right="91"/>
              <w:jc w:val="both"/>
              <w:rPr>
                <w:rFonts w:ascii="Arial" w:hAnsi="Arial"/>
                <w:sz w:val="22"/>
              </w:rPr>
            </w:pPr>
            <w:r>
              <w:rPr>
                <w:rFonts w:ascii="Arial" w:hAnsi="Arial"/>
                <w:sz w:val="22"/>
              </w:rPr>
              <w:t>E3 AE2 R2 (PPPS 1.14): Mecanismos diseñados e implementados para la atención itinerante a la población cuya brecha digital o limitaciones de acceso a la tecnología les dificulta la atención oportuna del IMAS</w:t>
            </w:r>
          </w:p>
        </w:tc>
        <w:tc>
          <w:tcPr>
            <w:tcW w:w="2506" w:type="dxa"/>
            <w:shd w:val="clear" w:color="auto" w:fill="C0C0C0"/>
          </w:tcPr>
          <w:p>
            <w:pPr>
              <w:pStyle w:val="TableParagraph"/>
              <w:tabs>
                <w:tab w:pos="1309" w:val="left" w:leader="none"/>
              </w:tabs>
              <w:spacing w:line="280" w:lineRule="auto"/>
              <w:ind w:left="107" w:right="85"/>
              <w:rPr>
                <w:rFonts w:ascii="Arial"/>
                <w:sz w:val="22"/>
              </w:rPr>
            </w:pPr>
            <w:r>
              <w:rPr>
                <w:rFonts w:ascii="Arial"/>
                <w:spacing w:val="-2"/>
                <w:sz w:val="22"/>
              </w:rPr>
              <w:t>DDSE/</w:t>
            </w:r>
            <w:r>
              <w:rPr>
                <w:rFonts w:ascii="Arial"/>
                <w:sz w:val="22"/>
              </w:rPr>
              <w:tab/>
            </w:r>
            <w:r>
              <w:rPr>
                <w:rFonts w:ascii="Arial"/>
                <w:spacing w:val="-2"/>
                <w:sz w:val="22"/>
              </w:rPr>
              <w:t>DAII-</w:t>
            </w:r>
            <w:r>
              <w:rPr>
                <w:rFonts w:ascii="Arial"/>
                <w:spacing w:val="-2"/>
                <w:sz w:val="22"/>
              </w:rPr>
              <w:t>DSIS-</w:t>
            </w:r>
            <w:r>
              <w:rPr>
                <w:rFonts w:ascii="Arial"/>
                <w:spacing w:val="-4"/>
                <w:sz w:val="22"/>
              </w:rPr>
              <w:t>ARDS</w:t>
            </w:r>
          </w:p>
        </w:tc>
        <w:tc>
          <w:tcPr>
            <w:tcW w:w="2739" w:type="dxa"/>
            <w:shd w:val="clear" w:color="auto" w:fill="C0C0C0"/>
          </w:tcPr>
          <w:p>
            <w:pPr>
              <w:pStyle w:val="TableParagraph"/>
              <w:spacing w:before="2"/>
              <w:ind w:left="106"/>
              <w:rPr>
                <w:rFonts w:ascii="Arial"/>
                <w:sz w:val="22"/>
              </w:rPr>
            </w:pPr>
            <w:r>
              <w:rPr>
                <w:rFonts w:ascii="Arial"/>
                <w:spacing w:val="-5"/>
                <w:sz w:val="22"/>
              </w:rPr>
              <w:t>0%</w:t>
            </w:r>
          </w:p>
        </w:tc>
      </w:tr>
    </w:tbl>
    <w:p>
      <w:pPr>
        <w:pStyle w:val="BodyText"/>
        <w:spacing w:before="108"/>
        <w:rPr>
          <w:b/>
          <w:sz w:val="18"/>
        </w:rPr>
      </w:pPr>
    </w:p>
    <w:p>
      <w:pPr>
        <w:spacing w:before="0"/>
        <w:ind w:left="216" w:right="437" w:firstLine="0"/>
        <w:jc w:val="center"/>
        <w:rPr>
          <w:sz w:val="18"/>
        </w:rPr>
      </w:pPr>
      <w:r>
        <w:rPr>
          <w:sz w:val="18"/>
        </w:rPr>
        <w:t>Fuente:</w:t>
      </w:r>
      <w:r>
        <w:rPr>
          <w:spacing w:val="-4"/>
          <w:sz w:val="18"/>
        </w:rPr>
        <w:t> </w:t>
      </w:r>
      <w:r>
        <w:rPr>
          <w:sz w:val="18"/>
        </w:rPr>
        <w:t>Registros</w:t>
      </w:r>
      <w:r>
        <w:rPr>
          <w:spacing w:val="-2"/>
          <w:sz w:val="18"/>
        </w:rPr>
        <w:t> </w:t>
      </w:r>
      <w:r>
        <w:rPr>
          <w:sz w:val="18"/>
        </w:rPr>
        <w:t>en</w:t>
      </w:r>
      <w:r>
        <w:rPr>
          <w:spacing w:val="-3"/>
          <w:sz w:val="18"/>
        </w:rPr>
        <w:t> </w:t>
      </w:r>
      <w:r>
        <w:rPr>
          <w:sz w:val="18"/>
        </w:rPr>
        <w:t>la</w:t>
      </w:r>
      <w:r>
        <w:rPr>
          <w:spacing w:val="-4"/>
          <w:sz w:val="18"/>
        </w:rPr>
        <w:t> </w:t>
      </w:r>
      <w:r>
        <w:rPr>
          <w:sz w:val="18"/>
        </w:rPr>
        <w:t>herramienta</w:t>
      </w:r>
      <w:r>
        <w:rPr>
          <w:spacing w:val="-3"/>
          <w:sz w:val="18"/>
        </w:rPr>
        <w:t> </w:t>
      </w:r>
      <w:r>
        <w:rPr>
          <w:sz w:val="18"/>
        </w:rPr>
        <w:t>DELPHOS-informe</w:t>
      </w:r>
      <w:r>
        <w:rPr>
          <w:spacing w:val="-5"/>
          <w:sz w:val="18"/>
        </w:rPr>
        <w:t> </w:t>
      </w:r>
      <w:r>
        <w:rPr>
          <w:sz w:val="18"/>
        </w:rPr>
        <w:t>anual</w:t>
      </w:r>
      <w:r>
        <w:rPr>
          <w:spacing w:val="-3"/>
          <w:sz w:val="18"/>
        </w:rPr>
        <w:t> </w:t>
      </w:r>
      <w:r>
        <w:rPr>
          <w:sz w:val="18"/>
        </w:rPr>
        <w:t>POI-POGE</w:t>
      </w:r>
      <w:r>
        <w:rPr>
          <w:spacing w:val="-3"/>
          <w:sz w:val="18"/>
        </w:rPr>
        <w:t> </w:t>
      </w:r>
      <w:r>
        <w:rPr>
          <w:spacing w:val="-4"/>
          <w:sz w:val="18"/>
        </w:rPr>
        <w:t>2024</w:t>
      </w:r>
    </w:p>
    <w:p>
      <w:pPr>
        <w:pStyle w:val="BodyText"/>
        <w:rPr>
          <w:sz w:val="18"/>
        </w:rPr>
      </w:pPr>
    </w:p>
    <w:p>
      <w:pPr>
        <w:pStyle w:val="BodyText"/>
        <w:spacing w:before="2"/>
        <w:rPr>
          <w:sz w:val="18"/>
        </w:rPr>
      </w:pPr>
    </w:p>
    <w:p>
      <w:pPr>
        <w:pStyle w:val="BodyText"/>
        <w:ind w:left="165" w:right="384"/>
        <w:jc w:val="both"/>
      </w:pPr>
      <w:r>
        <w:rPr/>
        <w:t>De estos siete resultados que componen este segundo subgrupo, se considera importante mencionar una debilidad encontrada y es que a la hora de programar el POI-POGE 2024 hay actividades vinculadas al PEI, para las cuales en algunos casos se asignaron unidades responsables</w:t>
      </w:r>
      <w:r>
        <w:rPr>
          <w:spacing w:val="80"/>
        </w:rPr>
        <w:t> </w:t>
      </w:r>
      <w:r>
        <w:rPr/>
        <w:t>de</w:t>
      </w:r>
      <w:r>
        <w:rPr>
          <w:spacing w:val="80"/>
        </w:rPr>
        <w:t> </w:t>
      </w:r>
      <w:r>
        <w:rPr/>
        <w:t>ejecutar</w:t>
      </w:r>
      <w:r>
        <w:rPr>
          <w:spacing w:val="80"/>
        </w:rPr>
        <w:t> </w:t>
      </w:r>
      <w:r>
        <w:rPr/>
        <w:t>las</w:t>
      </w:r>
      <w:r>
        <w:rPr>
          <w:spacing w:val="80"/>
        </w:rPr>
        <w:t> </w:t>
      </w:r>
      <w:r>
        <w:rPr/>
        <w:t>acciones,</w:t>
      </w:r>
      <w:r>
        <w:rPr>
          <w:spacing w:val="80"/>
        </w:rPr>
        <w:t> </w:t>
      </w:r>
      <w:r>
        <w:rPr/>
        <w:t>sin</w:t>
      </w:r>
      <w:r>
        <w:rPr>
          <w:spacing w:val="80"/>
        </w:rPr>
        <w:t> </w:t>
      </w:r>
      <w:r>
        <w:rPr/>
        <w:t>previa</w:t>
      </w:r>
      <w:r>
        <w:rPr>
          <w:spacing w:val="80"/>
        </w:rPr>
        <w:t> </w:t>
      </w:r>
      <w:r>
        <w:rPr/>
        <w:t>coordinación,</w:t>
      </w:r>
      <w:r>
        <w:rPr>
          <w:spacing w:val="80"/>
        </w:rPr>
        <w:t> </w:t>
      </w:r>
      <w:r>
        <w:rPr/>
        <w:t>por</w:t>
      </w:r>
      <w:r>
        <w:rPr>
          <w:spacing w:val="79"/>
        </w:rPr>
        <w:t> </w:t>
      </w:r>
      <w:r>
        <w:rPr/>
        <w:t>lo</w:t>
      </w:r>
      <w:r>
        <w:rPr>
          <w:spacing w:val="80"/>
        </w:rPr>
        <w:t> </w:t>
      </w:r>
      <w:r>
        <w:rPr/>
        <w:t>que</w:t>
      </w:r>
      <w:r>
        <w:rPr>
          <w:spacing w:val="80"/>
        </w:rPr>
        <w:t> </w:t>
      </w:r>
      <w:r>
        <w:rPr/>
        <w:t>estas</w:t>
      </w:r>
      <w:r>
        <w:rPr>
          <w:spacing w:val="80"/>
        </w:rPr>
        <w:t> </w:t>
      </w:r>
      <w:r>
        <w:rPr/>
        <w:t>unidades</w:t>
      </w:r>
    </w:p>
    <w:p>
      <w:pPr>
        <w:pStyle w:val="BodyText"/>
        <w:spacing w:after="0"/>
        <w:jc w:val="both"/>
        <w:sectPr>
          <w:headerReference w:type="default" r:id="rId73"/>
          <w:footerReference w:type="default" r:id="rId74"/>
          <w:pgSz w:w="13370" w:h="17280"/>
          <w:pgMar w:header="0" w:footer="969" w:top="340" w:bottom="1160" w:left="1275" w:right="992"/>
        </w:sectPr>
      </w:pPr>
    </w:p>
    <w:p>
      <w:pPr>
        <w:pStyle w:val="BodyText"/>
        <w:spacing w:before="78"/>
        <w:ind w:left="165" w:right="391"/>
        <w:jc w:val="both"/>
      </w:pPr>
      <w:r>
        <w:rPr/>
        <w:t>desconocen que tienen actividades asignadas. Lo anterior ha representado acciones inmediatas como por ejemplo entre la Dirección de Desarrollo Social y la Unidad de Planificación Institucional para la corrección de esta situación y con ello no afectar el cumplimiento del PEI.</w:t>
      </w:r>
    </w:p>
    <w:p>
      <w:pPr>
        <w:pStyle w:val="BodyText"/>
      </w:pPr>
    </w:p>
    <w:p>
      <w:pPr>
        <w:pStyle w:val="BodyText"/>
        <w:ind w:left="165" w:right="386"/>
        <w:jc w:val="both"/>
      </w:pPr>
      <w:r>
        <w:rPr/>
        <w:t>El resto de las actividades con avance crítico, señalan acciones, tanto en limitaciones como medidas de administración, que permitirían recuperar el rezago obtenido en el I semestre, lo que impactaría positivamente resultados del PEI.</w:t>
      </w:r>
    </w:p>
    <w:p>
      <w:pPr>
        <w:pStyle w:val="BodyText"/>
        <w:spacing w:before="228"/>
      </w:pPr>
    </w:p>
    <w:p>
      <w:pPr>
        <w:pStyle w:val="Heading5"/>
        <w:numPr>
          <w:ilvl w:val="0"/>
          <w:numId w:val="11"/>
        </w:numPr>
        <w:tabs>
          <w:tab w:pos="377" w:val="left" w:leader="none"/>
        </w:tabs>
        <w:spacing w:line="240" w:lineRule="auto" w:before="0" w:after="0"/>
        <w:ind w:left="377" w:right="0" w:hanging="212"/>
        <w:jc w:val="both"/>
      </w:pPr>
      <w:r>
        <w:rPr/>
        <w:t>Rectoría</w:t>
      </w:r>
      <w:r>
        <w:rPr>
          <w:spacing w:val="-2"/>
        </w:rPr>
        <w:t> </w:t>
      </w:r>
      <w:r>
        <w:rPr/>
        <w:t>técnica</w:t>
      </w:r>
      <w:r>
        <w:rPr>
          <w:spacing w:val="-5"/>
        </w:rPr>
        <w:t> </w:t>
      </w:r>
      <w:r>
        <w:rPr/>
        <w:t>social</w:t>
      </w:r>
      <w:r>
        <w:rPr>
          <w:spacing w:val="-5"/>
        </w:rPr>
        <w:t> </w:t>
      </w:r>
      <w:r>
        <w:rPr/>
        <w:t>y</w:t>
      </w:r>
      <w:r>
        <w:rPr>
          <w:spacing w:val="-2"/>
        </w:rPr>
        <w:t> articulación</w:t>
      </w:r>
    </w:p>
    <w:p>
      <w:pPr>
        <w:pStyle w:val="BodyText"/>
        <w:rPr>
          <w:b/>
        </w:rPr>
      </w:pPr>
    </w:p>
    <w:p>
      <w:pPr>
        <w:pStyle w:val="BodyText"/>
        <w:ind w:left="165" w:right="383"/>
        <w:jc w:val="both"/>
      </w:pPr>
      <w:r>
        <w:rPr/>
        <w:t>El Eje Estratégico # 4, Rectoría técnica social y articulación, para el I semestre, según programación</w:t>
      </w:r>
      <w:r>
        <w:rPr>
          <w:spacing w:val="-2"/>
        </w:rPr>
        <w:t> </w:t>
      </w:r>
      <w:r>
        <w:rPr/>
        <w:t>del</w:t>
      </w:r>
      <w:r>
        <w:rPr>
          <w:spacing w:val="-5"/>
        </w:rPr>
        <w:t> </w:t>
      </w:r>
      <w:r>
        <w:rPr/>
        <w:t>POI-POGE</w:t>
      </w:r>
      <w:r>
        <w:rPr>
          <w:spacing w:val="-4"/>
        </w:rPr>
        <w:t> </w:t>
      </w:r>
      <w:r>
        <w:rPr/>
        <w:t>2024,</w:t>
      </w:r>
      <w:r>
        <w:rPr>
          <w:spacing w:val="-2"/>
        </w:rPr>
        <w:t> </w:t>
      </w:r>
      <w:r>
        <w:rPr/>
        <w:t>tiene</w:t>
      </w:r>
      <w:r>
        <w:rPr>
          <w:spacing w:val="-3"/>
        </w:rPr>
        <w:t> </w:t>
      </w:r>
      <w:r>
        <w:rPr/>
        <w:t>8</w:t>
      </w:r>
      <w:r>
        <w:rPr>
          <w:spacing w:val="-1"/>
        </w:rPr>
        <w:t> </w:t>
      </w:r>
      <w:r>
        <w:rPr/>
        <w:t>resultados</w:t>
      </w:r>
      <w:r>
        <w:rPr>
          <w:spacing w:val="-2"/>
        </w:rPr>
        <w:t> </w:t>
      </w:r>
      <w:r>
        <w:rPr/>
        <w:t>activos, los</w:t>
      </w:r>
      <w:r>
        <w:rPr>
          <w:spacing w:val="-2"/>
        </w:rPr>
        <w:t> </w:t>
      </w:r>
      <w:r>
        <w:rPr/>
        <w:t>cuales</w:t>
      </w:r>
      <w:r>
        <w:rPr>
          <w:spacing w:val="-2"/>
        </w:rPr>
        <w:t> </w:t>
      </w:r>
      <w:r>
        <w:rPr/>
        <w:t>se</w:t>
      </w:r>
      <w:r>
        <w:rPr>
          <w:spacing w:val="-4"/>
        </w:rPr>
        <w:t> </w:t>
      </w:r>
      <w:r>
        <w:rPr/>
        <w:t>dividen</w:t>
      </w:r>
      <w:r>
        <w:rPr>
          <w:spacing w:val="-2"/>
        </w:rPr>
        <w:t> </w:t>
      </w:r>
      <w:r>
        <w:rPr/>
        <w:t>en ocho</w:t>
      </w:r>
      <w:r>
        <w:rPr>
          <w:spacing w:val="-2"/>
        </w:rPr>
        <w:t> </w:t>
      </w:r>
      <w:r>
        <w:rPr/>
        <w:t>según lo programado y uno en avance crítico, tal y como se muestra en el siguiente cuadro:</w:t>
      </w:r>
    </w:p>
    <w:p>
      <w:pPr>
        <w:pStyle w:val="BodyText"/>
        <w:spacing w:before="231"/>
      </w:pPr>
    </w:p>
    <w:p>
      <w:pPr>
        <w:spacing w:before="0"/>
        <w:ind w:left="215" w:right="437" w:firstLine="0"/>
        <w:jc w:val="center"/>
        <w:rPr>
          <w:b/>
          <w:sz w:val="22"/>
        </w:rPr>
      </w:pPr>
      <w:r>
        <w:rPr>
          <w:b/>
          <w:sz w:val="22"/>
        </w:rPr>
        <w:t>Cuadro</w:t>
      </w:r>
      <w:r>
        <w:rPr>
          <w:b/>
          <w:spacing w:val="-4"/>
          <w:sz w:val="22"/>
        </w:rPr>
        <w:t> </w:t>
      </w:r>
      <w:r>
        <w:rPr>
          <w:b/>
          <w:sz w:val="22"/>
        </w:rPr>
        <w:t>#</w:t>
      </w:r>
      <w:r>
        <w:rPr>
          <w:b/>
          <w:spacing w:val="-1"/>
          <w:sz w:val="22"/>
        </w:rPr>
        <w:t> </w:t>
      </w:r>
      <w:r>
        <w:rPr>
          <w:b/>
          <w:spacing w:val="-7"/>
          <w:sz w:val="22"/>
        </w:rPr>
        <w:t>5.</w:t>
      </w:r>
    </w:p>
    <w:p>
      <w:pPr>
        <w:spacing w:before="1"/>
        <w:ind w:left="969" w:right="1194" w:firstLine="0"/>
        <w:jc w:val="center"/>
        <w:rPr>
          <w:b/>
          <w:sz w:val="22"/>
        </w:rPr>
      </w:pPr>
      <w:r>
        <w:rPr>
          <w:b/>
          <w:sz w:val="22"/>
        </w:rPr>
        <w:t>Subgrupo</w:t>
      </w:r>
      <w:r>
        <w:rPr>
          <w:b/>
          <w:spacing w:val="-4"/>
          <w:sz w:val="22"/>
        </w:rPr>
        <w:t> </w:t>
      </w:r>
      <w:r>
        <w:rPr>
          <w:b/>
          <w:sz w:val="22"/>
        </w:rPr>
        <w:t>de</w:t>
      </w:r>
      <w:r>
        <w:rPr>
          <w:b/>
          <w:spacing w:val="-4"/>
          <w:sz w:val="22"/>
        </w:rPr>
        <w:t> </w:t>
      </w:r>
      <w:r>
        <w:rPr>
          <w:b/>
          <w:sz w:val="22"/>
        </w:rPr>
        <w:t>productos</w:t>
      </w:r>
      <w:r>
        <w:rPr>
          <w:b/>
          <w:spacing w:val="-4"/>
          <w:sz w:val="22"/>
        </w:rPr>
        <w:t> </w:t>
      </w:r>
      <w:r>
        <w:rPr>
          <w:b/>
          <w:sz w:val="22"/>
        </w:rPr>
        <w:t>vinculados</w:t>
      </w:r>
      <w:r>
        <w:rPr>
          <w:b/>
          <w:spacing w:val="-4"/>
          <w:sz w:val="22"/>
        </w:rPr>
        <w:t> </w:t>
      </w:r>
      <w:r>
        <w:rPr>
          <w:b/>
          <w:sz w:val="22"/>
        </w:rPr>
        <w:t>al</w:t>
      </w:r>
      <w:r>
        <w:rPr>
          <w:b/>
          <w:spacing w:val="-2"/>
          <w:sz w:val="22"/>
        </w:rPr>
        <w:t> </w:t>
      </w:r>
      <w:r>
        <w:rPr>
          <w:b/>
          <w:sz w:val="22"/>
        </w:rPr>
        <w:t>Plan</w:t>
      </w:r>
      <w:r>
        <w:rPr>
          <w:b/>
          <w:spacing w:val="-4"/>
          <w:sz w:val="22"/>
        </w:rPr>
        <w:t> </w:t>
      </w:r>
      <w:r>
        <w:rPr>
          <w:b/>
          <w:sz w:val="22"/>
        </w:rPr>
        <w:t>Estratégico</w:t>
      </w:r>
      <w:r>
        <w:rPr>
          <w:b/>
          <w:spacing w:val="-6"/>
          <w:sz w:val="22"/>
        </w:rPr>
        <w:t> </w:t>
      </w:r>
      <w:r>
        <w:rPr>
          <w:b/>
          <w:sz w:val="22"/>
        </w:rPr>
        <w:t>Institucional</w:t>
      </w:r>
      <w:r>
        <w:rPr>
          <w:b/>
          <w:spacing w:val="-1"/>
          <w:sz w:val="22"/>
        </w:rPr>
        <w:t> </w:t>
      </w:r>
      <w:r>
        <w:rPr>
          <w:b/>
          <w:sz w:val="22"/>
        </w:rPr>
        <w:t>-PEI</w:t>
      </w:r>
      <w:r>
        <w:rPr>
          <w:b/>
          <w:spacing w:val="-2"/>
          <w:sz w:val="22"/>
        </w:rPr>
        <w:t> </w:t>
      </w:r>
      <w:r>
        <w:rPr>
          <w:b/>
          <w:sz w:val="22"/>
        </w:rPr>
        <w:t>2023-2028, en estado según lo programado I semestre del PEI 2023-2028.</w:t>
      </w:r>
    </w:p>
    <w:p>
      <w:pPr>
        <w:pStyle w:val="BodyText"/>
        <w:spacing w:before="150"/>
        <w:rPr>
          <w:b/>
          <w:sz w:val="20"/>
        </w:rPr>
      </w:pPr>
    </w:p>
    <w:tbl>
      <w:tblPr>
        <w:tblW w:w="0" w:type="auto"/>
        <w:jc w:val="left"/>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055"/>
        <w:gridCol w:w="3704"/>
      </w:tblGrid>
      <w:tr>
        <w:trPr>
          <w:trHeight w:val="896" w:hRule="atLeast"/>
        </w:trPr>
        <w:tc>
          <w:tcPr>
            <w:tcW w:w="7055" w:type="dxa"/>
            <w:tcBorders>
              <w:bottom w:val="single" w:sz="18" w:space="0" w:color="000000"/>
            </w:tcBorders>
          </w:tcPr>
          <w:p>
            <w:pPr>
              <w:pStyle w:val="TableParagraph"/>
              <w:spacing w:line="253" w:lineRule="exact"/>
              <w:ind w:left="196"/>
              <w:jc w:val="center"/>
              <w:rPr>
                <w:rFonts w:ascii="Arial"/>
                <w:b/>
                <w:sz w:val="22"/>
              </w:rPr>
            </w:pPr>
            <w:r>
              <w:rPr>
                <w:rFonts w:ascii="Arial"/>
                <w:b/>
                <w:spacing w:val="-2"/>
                <w:sz w:val="22"/>
              </w:rPr>
              <w:t>Producto</w:t>
            </w:r>
          </w:p>
        </w:tc>
        <w:tc>
          <w:tcPr>
            <w:tcW w:w="3704" w:type="dxa"/>
            <w:tcBorders>
              <w:bottom w:val="single" w:sz="18" w:space="0" w:color="000000"/>
            </w:tcBorders>
          </w:tcPr>
          <w:p>
            <w:pPr>
              <w:pStyle w:val="TableParagraph"/>
              <w:ind w:left="107" w:right="85"/>
              <w:jc w:val="both"/>
              <w:rPr>
                <w:rFonts w:ascii="Arial"/>
                <w:b/>
                <w:sz w:val="22"/>
              </w:rPr>
            </w:pPr>
            <w:r>
              <w:rPr>
                <w:rFonts w:ascii="Arial"/>
                <w:b/>
                <w:sz w:val="22"/>
              </w:rPr>
              <w:t>Porcentaje de avance para el periodo I semestre del PEI 2023-</w:t>
            </w:r>
            <w:r>
              <w:rPr>
                <w:rFonts w:ascii="Arial"/>
                <w:b/>
                <w:spacing w:val="-2"/>
                <w:sz w:val="22"/>
              </w:rPr>
              <w:t>2028.</w:t>
            </w:r>
          </w:p>
        </w:tc>
      </w:tr>
      <w:tr>
        <w:trPr>
          <w:trHeight w:val="505" w:hRule="atLeast"/>
        </w:trPr>
        <w:tc>
          <w:tcPr>
            <w:tcW w:w="7055" w:type="dxa"/>
            <w:tcBorders>
              <w:top w:val="single" w:sz="18" w:space="0" w:color="000000"/>
            </w:tcBorders>
            <w:shd w:val="clear" w:color="auto" w:fill="C0C0C0"/>
          </w:tcPr>
          <w:p>
            <w:pPr>
              <w:pStyle w:val="TableParagraph"/>
              <w:tabs>
                <w:tab w:pos="1240" w:val="left" w:leader="none"/>
                <w:tab w:pos="2173" w:val="left" w:leader="none"/>
                <w:tab w:pos="3106" w:val="left" w:leader="none"/>
                <w:tab w:pos="4213" w:val="left" w:leader="none"/>
                <w:tab w:pos="4548" w:val="left" w:leader="none"/>
                <w:tab w:pos="5261" w:val="left" w:leader="none"/>
                <w:tab w:pos="5767" w:val="left" w:leader="none"/>
                <w:tab w:pos="6703" w:val="left" w:leader="none"/>
              </w:tabs>
              <w:spacing w:line="254" w:lineRule="exact"/>
              <w:ind w:left="534" w:right="87"/>
              <w:rPr>
                <w:rFonts w:ascii="Arial" w:hAnsi="Arial"/>
                <w:sz w:val="22"/>
              </w:rPr>
            </w:pPr>
            <w:r>
              <w:rPr>
                <w:rFonts w:ascii="Arial" w:hAnsi="Arial"/>
                <w:spacing w:val="-2"/>
                <w:sz w:val="22"/>
              </w:rPr>
              <w:t>4.1.2</w:t>
            </w:r>
            <w:r>
              <w:rPr>
                <w:rFonts w:ascii="Arial" w:hAnsi="Arial"/>
                <w:sz w:val="22"/>
              </w:rPr>
              <w:tab/>
            </w:r>
            <w:r>
              <w:rPr>
                <w:rFonts w:ascii="Arial" w:hAnsi="Arial"/>
                <w:spacing w:val="-2"/>
                <w:sz w:val="22"/>
              </w:rPr>
              <w:t>Política</w:t>
            </w:r>
            <w:r>
              <w:rPr>
                <w:rFonts w:ascii="Arial" w:hAnsi="Arial"/>
                <w:sz w:val="22"/>
              </w:rPr>
              <w:tab/>
            </w:r>
            <w:r>
              <w:rPr>
                <w:rFonts w:ascii="Arial" w:hAnsi="Arial"/>
                <w:spacing w:val="-2"/>
                <w:sz w:val="22"/>
              </w:rPr>
              <w:t>Pública</w:t>
            </w:r>
            <w:r>
              <w:rPr>
                <w:rFonts w:ascii="Arial" w:hAnsi="Arial"/>
                <w:sz w:val="22"/>
              </w:rPr>
              <w:tab/>
            </w:r>
            <w:r>
              <w:rPr>
                <w:rFonts w:ascii="Arial" w:hAnsi="Arial"/>
                <w:spacing w:val="-2"/>
                <w:sz w:val="22"/>
              </w:rPr>
              <w:t>diseñada</w:t>
            </w:r>
            <w:r>
              <w:rPr>
                <w:rFonts w:ascii="Arial" w:hAnsi="Arial"/>
                <w:sz w:val="22"/>
              </w:rPr>
              <w:tab/>
            </w:r>
            <w:r>
              <w:rPr>
                <w:rFonts w:ascii="Arial" w:hAnsi="Arial"/>
                <w:spacing w:val="-10"/>
                <w:sz w:val="22"/>
              </w:rPr>
              <w:t>a</w:t>
            </w:r>
            <w:r>
              <w:rPr>
                <w:rFonts w:ascii="Arial" w:hAnsi="Arial"/>
                <w:sz w:val="22"/>
              </w:rPr>
              <w:tab/>
            </w:r>
            <w:r>
              <w:rPr>
                <w:rFonts w:ascii="Arial" w:hAnsi="Arial"/>
                <w:spacing w:val="-2"/>
                <w:sz w:val="22"/>
              </w:rPr>
              <w:t>partir</w:t>
            </w:r>
            <w:r>
              <w:rPr>
                <w:rFonts w:ascii="Arial" w:hAnsi="Arial"/>
                <w:sz w:val="22"/>
              </w:rPr>
              <w:tab/>
            </w:r>
            <w:r>
              <w:rPr>
                <w:rFonts w:ascii="Arial" w:hAnsi="Arial"/>
                <w:spacing w:val="-4"/>
                <w:sz w:val="22"/>
              </w:rPr>
              <w:t>del</w:t>
            </w:r>
            <w:r>
              <w:rPr>
                <w:rFonts w:ascii="Arial" w:hAnsi="Arial"/>
                <w:sz w:val="22"/>
              </w:rPr>
              <w:tab/>
            </w:r>
            <w:r>
              <w:rPr>
                <w:rFonts w:ascii="Arial" w:hAnsi="Arial"/>
                <w:spacing w:val="-2"/>
                <w:sz w:val="22"/>
              </w:rPr>
              <w:t>Modelo</w:t>
            </w:r>
            <w:r>
              <w:rPr>
                <w:rFonts w:ascii="Arial" w:hAnsi="Arial"/>
                <w:sz w:val="22"/>
              </w:rPr>
              <w:tab/>
            </w:r>
            <w:r>
              <w:rPr>
                <w:rFonts w:ascii="Arial" w:hAnsi="Arial"/>
                <w:spacing w:val="-6"/>
                <w:sz w:val="22"/>
              </w:rPr>
              <w:t>d</w:t>
            </w:r>
            <w:r>
              <w:rPr>
                <w:rFonts w:ascii="Arial" w:hAnsi="Arial"/>
                <w:spacing w:val="-6"/>
                <w:sz w:val="22"/>
              </w:rPr>
              <w:t>e</w:t>
            </w:r>
            <w:r>
              <w:rPr>
                <w:rFonts w:ascii="Arial" w:hAnsi="Arial"/>
                <w:spacing w:val="-6"/>
                <w:sz w:val="22"/>
              </w:rPr>
              <w:t> </w:t>
            </w:r>
            <w:r>
              <w:rPr>
                <w:rFonts w:ascii="Arial" w:hAnsi="Arial"/>
                <w:sz w:val="22"/>
              </w:rPr>
              <w:t>Intervención oficializada por medio de Decreto de gobierno.</w:t>
            </w:r>
          </w:p>
        </w:tc>
        <w:tc>
          <w:tcPr>
            <w:tcW w:w="3704" w:type="dxa"/>
            <w:tcBorders>
              <w:top w:val="single" w:sz="18" w:space="0" w:color="000000"/>
            </w:tcBorders>
            <w:shd w:val="clear" w:color="auto" w:fill="C0C0C0"/>
          </w:tcPr>
          <w:p>
            <w:pPr>
              <w:pStyle w:val="TableParagraph"/>
              <w:spacing w:line="252" w:lineRule="exact"/>
              <w:ind w:left="20" w:right="3"/>
              <w:jc w:val="center"/>
              <w:rPr>
                <w:rFonts w:ascii="Arial"/>
                <w:sz w:val="22"/>
              </w:rPr>
            </w:pPr>
            <w:r>
              <w:rPr>
                <w:rFonts w:ascii="Arial"/>
                <w:spacing w:val="-4"/>
                <w:sz w:val="22"/>
              </w:rPr>
              <w:t>100%</w:t>
            </w:r>
          </w:p>
        </w:tc>
      </w:tr>
      <w:tr>
        <w:trPr>
          <w:trHeight w:val="757" w:hRule="atLeast"/>
        </w:trPr>
        <w:tc>
          <w:tcPr>
            <w:tcW w:w="7055" w:type="dxa"/>
          </w:tcPr>
          <w:p>
            <w:pPr>
              <w:pStyle w:val="TableParagraph"/>
              <w:spacing w:line="252" w:lineRule="exact"/>
              <w:ind w:left="580"/>
              <w:rPr>
                <w:rFonts w:ascii="Arial" w:hAnsi="Arial"/>
                <w:sz w:val="22"/>
              </w:rPr>
            </w:pPr>
            <w:r>
              <w:rPr>
                <w:rFonts w:ascii="Arial" w:hAnsi="Arial"/>
                <w:sz w:val="22"/>
              </w:rPr>
              <w:t>4.1.3</w:t>
            </w:r>
            <w:r>
              <w:rPr>
                <w:rFonts w:ascii="Arial" w:hAnsi="Arial"/>
                <w:spacing w:val="14"/>
                <w:sz w:val="22"/>
              </w:rPr>
              <w:t> </w:t>
            </w:r>
            <w:r>
              <w:rPr>
                <w:rFonts w:ascii="Arial" w:hAnsi="Arial"/>
                <w:sz w:val="22"/>
              </w:rPr>
              <w:t>Modelo</w:t>
            </w:r>
            <w:r>
              <w:rPr>
                <w:rFonts w:ascii="Arial" w:hAnsi="Arial"/>
                <w:spacing w:val="16"/>
                <w:sz w:val="22"/>
              </w:rPr>
              <w:t> </w:t>
            </w:r>
            <w:r>
              <w:rPr>
                <w:rFonts w:ascii="Arial" w:hAnsi="Arial"/>
                <w:sz w:val="22"/>
              </w:rPr>
              <w:t>de</w:t>
            </w:r>
            <w:r>
              <w:rPr>
                <w:rFonts w:ascii="Arial" w:hAnsi="Arial"/>
                <w:spacing w:val="15"/>
                <w:sz w:val="22"/>
              </w:rPr>
              <w:t> </w:t>
            </w:r>
            <w:r>
              <w:rPr>
                <w:rFonts w:ascii="Arial" w:hAnsi="Arial"/>
                <w:sz w:val="22"/>
              </w:rPr>
              <w:t>Intervención</w:t>
            </w:r>
            <w:r>
              <w:rPr>
                <w:rFonts w:ascii="Arial" w:hAnsi="Arial"/>
                <w:spacing w:val="18"/>
                <w:sz w:val="22"/>
              </w:rPr>
              <w:t> </w:t>
            </w:r>
            <w:r>
              <w:rPr>
                <w:rFonts w:ascii="Arial" w:hAnsi="Arial"/>
                <w:sz w:val="22"/>
              </w:rPr>
              <w:t>Interinstitucional</w:t>
            </w:r>
            <w:r>
              <w:rPr>
                <w:rFonts w:ascii="Arial" w:hAnsi="Arial"/>
                <w:spacing w:val="17"/>
                <w:sz w:val="22"/>
              </w:rPr>
              <w:t> </w:t>
            </w:r>
            <w:r>
              <w:rPr>
                <w:rFonts w:ascii="Arial" w:hAnsi="Arial"/>
                <w:sz w:val="22"/>
              </w:rPr>
              <w:t>del</w:t>
            </w:r>
            <w:r>
              <w:rPr>
                <w:rFonts w:ascii="Arial" w:hAnsi="Arial"/>
                <w:spacing w:val="17"/>
                <w:sz w:val="22"/>
              </w:rPr>
              <w:t> </w:t>
            </w:r>
            <w:r>
              <w:rPr>
                <w:rFonts w:ascii="Arial" w:hAnsi="Arial"/>
                <w:sz w:val="22"/>
              </w:rPr>
              <w:t>Sector</w:t>
            </w:r>
            <w:r>
              <w:rPr>
                <w:rFonts w:ascii="Arial" w:hAnsi="Arial"/>
                <w:spacing w:val="17"/>
                <w:sz w:val="22"/>
              </w:rPr>
              <w:t> </w:t>
            </w:r>
            <w:r>
              <w:rPr>
                <w:rFonts w:ascii="Arial" w:hAnsi="Arial"/>
                <w:spacing w:val="-2"/>
                <w:sz w:val="22"/>
              </w:rPr>
              <w:t>Social</w:t>
            </w:r>
          </w:p>
          <w:p>
            <w:pPr>
              <w:pStyle w:val="TableParagraph"/>
              <w:spacing w:line="252" w:lineRule="exact"/>
              <w:ind w:left="580"/>
              <w:rPr>
                <w:rFonts w:ascii="Arial" w:hAnsi="Arial"/>
                <w:sz w:val="22"/>
              </w:rPr>
            </w:pPr>
            <w:r>
              <w:rPr>
                <w:rFonts w:ascii="Arial" w:hAnsi="Arial"/>
                <w:sz w:val="22"/>
              </w:rPr>
              <w:t>implementándose en los POI de cada una de las institucionales participantes según sus competencias.</w:t>
            </w:r>
          </w:p>
        </w:tc>
        <w:tc>
          <w:tcPr>
            <w:tcW w:w="3704" w:type="dxa"/>
          </w:tcPr>
          <w:p>
            <w:pPr>
              <w:pStyle w:val="TableParagraph"/>
              <w:spacing w:line="252" w:lineRule="exact"/>
              <w:ind w:left="20"/>
              <w:jc w:val="center"/>
              <w:rPr>
                <w:rFonts w:ascii="Arial"/>
                <w:sz w:val="22"/>
              </w:rPr>
            </w:pPr>
            <w:r>
              <w:rPr>
                <w:rFonts w:ascii="Arial"/>
                <w:spacing w:val="-5"/>
                <w:sz w:val="22"/>
              </w:rPr>
              <w:t>75%</w:t>
            </w:r>
          </w:p>
        </w:tc>
      </w:tr>
      <w:tr>
        <w:trPr>
          <w:trHeight w:val="253" w:hRule="atLeast"/>
        </w:trPr>
        <w:tc>
          <w:tcPr>
            <w:tcW w:w="7055" w:type="dxa"/>
            <w:shd w:val="clear" w:color="auto" w:fill="C0C0C0"/>
          </w:tcPr>
          <w:p>
            <w:pPr>
              <w:pStyle w:val="TableParagraph"/>
              <w:spacing w:line="234" w:lineRule="exact"/>
              <w:ind w:left="580"/>
              <w:rPr>
                <w:rFonts w:ascii="Arial"/>
                <w:sz w:val="22"/>
              </w:rPr>
            </w:pPr>
            <w:r>
              <w:rPr>
                <w:rFonts w:ascii="Arial"/>
                <w:sz w:val="22"/>
              </w:rPr>
              <w:t>4.1.4</w:t>
            </w:r>
            <w:r>
              <w:rPr>
                <w:rFonts w:ascii="Arial"/>
                <w:spacing w:val="-5"/>
                <w:sz w:val="22"/>
              </w:rPr>
              <w:t> </w:t>
            </w:r>
            <w:r>
              <w:rPr>
                <w:rFonts w:ascii="Arial"/>
                <w:sz w:val="22"/>
              </w:rPr>
              <w:t>Sistema</w:t>
            </w:r>
            <w:r>
              <w:rPr>
                <w:rFonts w:ascii="Arial"/>
                <w:spacing w:val="-5"/>
                <w:sz w:val="22"/>
              </w:rPr>
              <w:t> </w:t>
            </w:r>
            <w:r>
              <w:rPr>
                <w:rFonts w:ascii="Arial"/>
                <w:sz w:val="22"/>
              </w:rPr>
              <w:t>de</w:t>
            </w:r>
            <w:r>
              <w:rPr>
                <w:rFonts w:ascii="Arial"/>
                <w:spacing w:val="-4"/>
                <w:sz w:val="22"/>
              </w:rPr>
              <w:t> </w:t>
            </w:r>
            <w:r>
              <w:rPr>
                <w:rFonts w:ascii="Arial"/>
                <w:sz w:val="22"/>
              </w:rPr>
              <w:t>monitoreo</w:t>
            </w:r>
            <w:r>
              <w:rPr>
                <w:rFonts w:ascii="Arial"/>
                <w:spacing w:val="-3"/>
                <w:sz w:val="22"/>
              </w:rPr>
              <w:t> </w:t>
            </w:r>
            <w:r>
              <w:rPr>
                <w:rFonts w:ascii="Arial"/>
                <w:sz w:val="22"/>
              </w:rPr>
              <w:t>de</w:t>
            </w:r>
            <w:r>
              <w:rPr>
                <w:rFonts w:ascii="Arial"/>
                <w:spacing w:val="-5"/>
                <w:sz w:val="22"/>
              </w:rPr>
              <w:t> </w:t>
            </w:r>
            <w:r>
              <w:rPr>
                <w:rFonts w:ascii="Arial"/>
                <w:sz w:val="22"/>
              </w:rPr>
              <w:t>metas</w:t>
            </w:r>
            <w:r>
              <w:rPr>
                <w:rFonts w:ascii="Arial"/>
                <w:spacing w:val="-4"/>
                <w:sz w:val="22"/>
              </w:rPr>
              <w:t> </w:t>
            </w:r>
            <w:r>
              <w:rPr>
                <w:rFonts w:ascii="Arial"/>
                <w:sz w:val="22"/>
              </w:rPr>
              <w:t>del</w:t>
            </w:r>
            <w:r>
              <w:rPr>
                <w:rFonts w:ascii="Arial"/>
                <w:spacing w:val="-6"/>
                <w:sz w:val="22"/>
              </w:rPr>
              <w:t> </w:t>
            </w:r>
            <w:r>
              <w:rPr>
                <w:rFonts w:ascii="Arial"/>
                <w:sz w:val="22"/>
              </w:rPr>
              <w:t>MIISS</w:t>
            </w:r>
            <w:r>
              <w:rPr>
                <w:rFonts w:ascii="Arial"/>
                <w:spacing w:val="-2"/>
                <w:sz w:val="22"/>
              </w:rPr>
              <w:t> operando.</w:t>
            </w:r>
          </w:p>
        </w:tc>
        <w:tc>
          <w:tcPr>
            <w:tcW w:w="3704" w:type="dxa"/>
            <w:shd w:val="clear" w:color="auto" w:fill="C0C0C0"/>
          </w:tcPr>
          <w:p>
            <w:pPr>
              <w:pStyle w:val="TableParagraph"/>
              <w:spacing w:line="234" w:lineRule="exact"/>
              <w:ind w:left="20" w:right="3"/>
              <w:jc w:val="center"/>
              <w:rPr>
                <w:rFonts w:ascii="Arial"/>
                <w:sz w:val="22"/>
              </w:rPr>
            </w:pPr>
            <w:r>
              <w:rPr>
                <w:rFonts w:ascii="Arial"/>
                <w:spacing w:val="-4"/>
                <w:sz w:val="22"/>
              </w:rPr>
              <w:t>100%</w:t>
            </w:r>
          </w:p>
        </w:tc>
      </w:tr>
      <w:tr>
        <w:trPr>
          <w:trHeight w:val="757" w:hRule="atLeast"/>
        </w:trPr>
        <w:tc>
          <w:tcPr>
            <w:tcW w:w="7055" w:type="dxa"/>
          </w:tcPr>
          <w:p>
            <w:pPr>
              <w:pStyle w:val="TableParagraph"/>
              <w:tabs>
                <w:tab w:pos="1290" w:val="left" w:leader="none"/>
                <w:tab w:pos="2120" w:val="left" w:leader="none"/>
                <w:tab w:pos="3624" w:val="left" w:leader="none"/>
                <w:tab w:pos="4087" w:val="left" w:leader="none"/>
                <w:tab w:pos="5528" w:val="left" w:leader="none"/>
                <w:tab w:pos="6116" w:val="left" w:leader="none"/>
              </w:tabs>
              <w:ind w:left="580" w:right="86"/>
              <w:rPr>
                <w:rFonts w:ascii="Arial" w:hAnsi="Arial"/>
                <w:sz w:val="22"/>
              </w:rPr>
            </w:pPr>
            <w:r>
              <w:rPr>
                <w:rFonts w:ascii="Arial" w:hAnsi="Arial"/>
                <w:spacing w:val="-2"/>
                <w:sz w:val="22"/>
              </w:rPr>
              <w:t>4.2.1</w:t>
            </w:r>
            <w:r>
              <w:rPr>
                <w:rFonts w:ascii="Arial" w:hAnsi="Arial"/>
                <w:sz w:val="22"/>
              </w:rPr>
              <w:tab/>
            </w:r>
            <w:r>
              <w:rPr>
                <w:rFonts w:ascii="Arial" w:hAnsi="Arial"/>
                <w:spacing w:val="-2"/>
                <w:sz w:val="22"/>
              </w:rPr>
              <w:t>Oferta</w:t>
            </w:r>
            <w:r>
              <w:rPr>
                <w:rFonts w:ascii="Arial" w:hAnsi="Arial"/>
                <w:sz w:val="22"/>
              </w:rPr>
              <w:tab/>
            </w:r>
            <w:r>
              <w:rPr>
                <w:rFonts w:ascii="Arial" w:hAnsi="Arial"/>
                <w:spacing w:val="-2"/>
                <w:sz w:val="22"/>
              </w:rPr>
              <w:t>programática</w:t>
            </w:r>
            <w:r>
              <w:rPr>
                <w:rFonts w:ascii="Arial" w:hAnsi="Arial"/>
                <w:sz w:val="22"/>
              </w:rPr>
              <w:tab/>
            </w:r>
            <w:r>
              <w:rPr>
                <w:rFonts w:ascii="Arial" w:hAnsi="Arial"/>
                <w:spacing w:val="-6"/>
                <w:sz w:val="22"/>
              </w:rPr>
              <w:t>de</w:t>
            </w:r>
            <w:r>
              <w:rPr>
                <w:rFonts w:ascii="Arial" w:hAnsi="Arial"/>
                <w:sz w:val="22"/>
              </w:rPr>
              <w:tab/>
            </w:r>
            <w:r>
              <w:rPr>
                <w:rFonts w:ascii="Arial" w:hAnsi="Arial"/>
                <w:spacing w:val="-2"/>
                <w:sz w:val="22"/>
              </w:rPr>
              <w:t>Instituciones</w:t>
            </w:r>
            <w:r>
              <w:rPr>
                <w:rFonts w:ascii="Arial" w:hAnsi="Arial"/>
                <w:sz w:val="22"/>
              </w:rPr>
              <w:tab/>
            </w:r>
            <w:r>
              <w:rPr>
                <w:rFonts w:ascii="Arial" w:hAnsi="Arial"/>
                <w:spacing w:val="-4"/>
                <w:sz w:val="22"/>
              </w:rPr>
              <w:t>que</w:t>
            </w:r>
            <w:r>
              <w:rPr>
                <w:rFonts w:ascii="Arial" w:hAnsi="Arial"/>
                <w:sz w:val="22"/>
              </w:rPr>
              <w:tab/>
            </w:r>
            <w:r>
              <w:rPr>
                <w:rFonts w:ascii="Arial" w:hAnsi="Arial"/>
                <w:spacing w:val="-2"/>
                <w:sz w:val="22"/>
              </w:rPr>
              <w:t>ejecuta</w:t>
            </w:r>
            <w:r>
              <w:rPr>
                <w:rFonts w:ascii="Arial" w:hAnsi="Arial"/>
                <w:spacing w:val="-2"/>
                <w:sz w:val="22"/>
              </w:rPr>
              <w:t>n</w:t>
            </w:r>
            <w:r>
              <w:rPr>
                <w:rFonts w:ascii="Arial" w:hAnsi="Arial"/>
                <w:spacing w:val="-2"/>
                <w:sz w:val="22"/>
              </w:rPr>
              <w:t> </w:t>
            </w:r>
            <w:r>
              <w:rPr>
                <w:rFonts w:ascii="Arial" w:hAnsi="Arial"/>
                <w:sz w:val="22"/>
              </w:rPr>
              <w:t>programas</w:t>
            </w:r>
            <w:r>
              <w:rPr>
                <w:rFonts w:ascii="Arial" w:hAnsi="Arial"/>
                <w:spacing w:val="31"/>
                <w:sz w:val="22"/>
              </w:rPr>
              <w:t>  </w:t>
            </w:r>
            <w:r>
              <w:rPr>
                <w:rFonts w:ascii="Arial" w:hAnsi="Arial"/>
                <w:sz w:val="22"/>
              </w:rPr>
              <w:t>sociales</w:t>
            </w:r>
            <w:r>
              <w:rPr>
                <w:rFonts w:ascii="Arial" w:hAnsi="Arial"/>
                <w:spacing w:val="33"/>
                <w:sz w:val="22"/>
              </w:rPr>
              <w:t>  </w:t>
            </w:r>
            <w:r>
              <w:rPr>
                <w:rFonts w:ascii="Arial" w:hAnsi="Arial"/>
                <w:sz w:val="22"/>
              </w:rPr>
              <w:t>identificada</w:t>
            </w:r>
            <w:r>
              <w:rPr>
                <w:rFonts w:ascii="Arial" w:hAnsi="Arial"/>
                <w:spacing w:val="31"/>
                <w:sz w:val="22"/>
              </w:rPr>
              <w:t>  </w:t>
            </w:r>
            <w:r>
              <w:rPr>
                <w:rFonts w:ascii="Arial" w:hAnsi="Arial"/>
                <w:sz w:val="22"/>
              </w:rPr>
              <w:t>y</w:t>
            </w:r>
            <w:r>
              <w:rPr>
                <w:rFonts w:ascii="Arial" w:hAnsi="Arial"/>
                <w:spacing w:val="32"/>
                <w:sz w:val="22"/>
              </w:rPr>
              <w:t>  </w:t>
            </w:r>
            <w:r>
              <w:rPr>
                <w:rFonts w:ascii="Arial" w:hAnsi="Arial"/>
                <w:sz w:val="22"/>
              </w:rPr>
              <w:t>caracterizada</w:t>
            </w:r>
            <w:r>
              <w:rPr>
                <w:rFonts w:ascii="Arial" w:hAnsi="Arial"/>
                <w:spacing w:val="33"/>
                <w:sz w:val="22"/>
              </w:rPr>
              <w:t>  </w:t>
            </w:r>
            <w:r>
              <w:rPr>
                <w:rFonts w:ascii="Arial" w:hAnsi="Arial"/>
                <w:spacing w:val="-2"/>
                <w:sz w:val="22"/>
              </w:rPr>
              <w:t>(objetivos,</w:t>
            </w:r>
          </w:p>
          <w:p>
            <w:pPr>
              <w:pStyle w:val="TableParagraph"/>
              <w:spacing w:line="232" w:lineRule="exact"/>
              <w:ind w:left="580"/>
              <w:rPr>
                <w:rFonts w:ascii="Arial" w:hAnsi="Arial"/>
                <w:sz w:val="22"/>
              </w:rPr>
            </w:pPr>
            <w:r>
              <w:rPr>
                <w:rFonts w:ascii="Arial" w:hAnsi="Arial"/>
                <w:sz w:val="22"/>
              </w:rPr>
              <w:t>fuentes</w:t>
            </w:r>
            <w:r>
              <w:rPr>
                <w:rFonts w:ascii="Arial" w:hAnsi="Arial"/>
                <w:spacing w:val="-9"/>
                <w:sz w:val="22"/>
              </w:rPr>
              <w:t> </w:t>
            </w:r>
            <w:r>
              <w:rPr>
                <w:rFonts w:ascii="Arial" w:hAnsi="Arial"/>
                <w:sz w:val="22"/>
              </w:rPr>
              <w:t>de</w:t>
            </w:r>
            <w:r>
              <w:rPr>
                <w:rFonts w:ascii="Arial" w:hAnsi="Arial"/>
                <w:spacing w:val="-8"/>
                <w:sz w:val="22"/>
              </w:rPr>
              <w:t> </w:t>
            </w:r>
            <w:r>
              <w:rPr>
                <w:rFonts w:ascii="Arial" w:hAnsi="Arial"/>
                <w:sz w:val="22"/>
              </w:rPr>
              <w:t>financiamiento,</w:t>
            </w:r>
            <w:r>
              <w:rPr>
                <w:rFonts w:ascii="Arial" w:hAnsi="Arial"/>
                <w:spacing w:val="-5"/>
                <w:sz w:val="22"/>
              </w:rPr>
              <w:t> </w:t>
            </w:r>
            <w:r>
              <w:rPr>
                <w:rFonts w:ascii="Arial" w:hAnsi="Arial"/>
                <w:sz w:val="22"/>
              </w:rPr>
              <w:t>población</w:t>
            </w:r>
            <w:r>
              <w:rPr>
                <w:rFonts w:ascii="Arial" w:hAnsi="Arial"/>
                <w:spacing w:val="-6"/>
                <w:sz w:val="22"/>
              </w:rPr>
              <w:t> </w:t>
            </w:r>
            <w:r>
              <w:rPr>
                <w:rFonts w:ascii="Arial" w:hAnsi="Arial"/>
                <w:sz w:val="22"/>
              </w:rPr>
              <w:t>que</w:t>
            </w:r>
            <w:r>
              <w:rPr>
                <w:rFonts w:ascii="Arial" w:hAnsi="Arial"/>
                <w:spacing w:val="-8"/>
                <w:sz w:val="22"/>
              </w:rPr>
              <w:t> </w:t>
            </w:r>
            <w:r>
              <w:rPr>
                <w:rFonts w:ascii="Arial" w:hAnsi="Arial"/>
                <w:sz w:val="22"/>
              </w:rPr>
              <w:t>atiende,</w:t>
            </w:r>
            <w:r>
              <w:rPr>
                <w:rFonts w:ascii="Arial" w:hAnsi="Arial"/>
                <w:spacing w:val="-4"/>
                <w:sz w:val="22"/>
              </w:rPr>
              <w:t> </w:t>
            </w:r>
            <w:r>
              <w:rPr>
                <w:rFonts w:ascii="Arial" w:hAnsi="Arial"/>
                <w:spacing w:val="-2"/>
                <w:sz w:val="22"/>
              </w:rPr>
              <w:t>otros)</w:t>
            </w:r>
          </w:p>
        </w:tc>
        <w:tc>
          <w:tcPr>
            <w:tcW w:w="3704" w:type="dxa"/>
          </w:tcPr>
          <w:p>
            <w:pPr>
              <w:pStyle w:val="TableParagraph"/>
              <w:spacing w:line="253" w:lineRule="exact"/>
              <w:ind w:left="20" w:right="2"/>
              <w:jc w:val="center"/>
              <w:rPr>
                <w:rFonts w:ascii="Arial"/>
                <w:sz w:val="22"/>
              </w:rPr>
            </w:pPr>
            <w:r>
              <w:rPr>
                <w:rFonts w:ascii="Arial"/>
                <w:spacing w:val="-2"/>
                <w:sz w:val="22"/>
              </w:rPr>
              <w:t>72.4%</w:t>
            </w:r>
          </w:p>
        </w:tc>
      </w:tr>
      <w:tr>
        <w:trPr>
          <w:trHeight w:val="505" w:hRule="atLeast"/>
        </w:trPr>
        <w:tc>
          <w:tcPr>
            <w:tcW w:w="7055" w:type="dxa"/>
            <w:shd w:val="clear" w:color="auto" w:fill="C0C0C0"/>
          </w:tcPr>
          <w:p>
            <w:pPr>
              <w:pStyle w:val="TableParagraph"/>
              <w:spacing w:line="254" w:lineRule="exact"/>
              <w:ind w:left="580"/>
              <w:rPr>
                <w:rFonts w:ascii="Arial"/>
                <w:sz w:val="22"/>
              </w:rPr>
            </w:pPr>
            <w:r>
              <w:rPr>
                <w:rFonts w:ascii="Arial"/>
                <w:sz w:val="22"/>
              </w:rPr>
              <w:t>4.3.1</w:t>
            </w:r>
            <w:r>
              <w:rPr>
                <w:rFonts w:ascii="Arial"/>
                <w:spacing w:val="80"/>
                <w:sz w:val="22"/>
              </w:rPr>
              <w:t> </w:t>
            </w:r>
            <w:r>
              <w:rPr>
                <w:rFonts w:ascii="Arial"/>
                <w:sz w:val="22"/>
              </w:rPr>
              <w:t>Estrategia</w:t>
            </w:r>
            <w:r>
              <w:rPr>
                <w:rFonts w:ascii="Arial"/>
                <w:spacing w:val="80"/>
                <w:sz w:val="22"/>
              </w:rPr>
              <w:t> </w:t>
            </w:r>
            <w:r>
              <w:rPr>
                <w:rFonts w:ascii="Arial"/>
                <w:sz w:val="22"/>
              </w:rPr>
              <w:t>de</w:t>
            </w:r>
            <w:r>
              <w:rPr>
                <w:rFonts w:ascii="Arial"/>
                <w:spacing w:val="80"/>
                <w:sz w:val="22"/>
              </w:rPr>
              <w:t> </w:t>
            </w:r>
            <w:r>
              <w:rPr>
                <w:rFonts w:ascii="Arial"/>
                <w:sz w:val="22"/>
              </w:rPr>
              <w:t>metas</w:t>
            </w:r>
            <w:r>
              <w:rPr>
                <w:rFonts w:ascii="Arial"/>
                <w:spacing w:val="80"/>
                <w:sz w:val="22"/>
              </w:rPr>
              <w:t> </w:t>
            </w:r>
            <w:r>
              <w:rPr>
                <w:rFonts w:ascii="Arial"/>
                <w:sz w:val="22"/>
              </w:rPr>
              <w:t>nacionales</w:t>
            </w:r>
            <w:r>
              <w:rPr>
                <w:rFonts w:ascii="Arial"/>
                <w:spacing w:val="80"/>
                <w:sz w:val="22"/>
              </w:rPr>
              <w:t> </w:t>
            </w:r>
            <w:r>
              <w:rPr>
                <w:rFonts w:ascii="Arial"/>
                <w:sz w:val="22"/>
              </w:rPr>
              <w:t>del</w:t>
            </w:r>
            <w:r>
              <w:rPr>
                <w:rFonts w:ascii="Arial"/>
                <w:spacing w:val="80"/>
                <w:sz w:val="22"/>
              </w:rPr>
              <w:t> </w:t>
            </w:r>
            <w:r>
              <w:rPr>
                <w:rFonts w:ascii="Arial"/>
                <w:sz w:val="22"/>
              </w:rPr>
              <w:t>ODS</w:t>
            </w:r>
            <w:r>
              <w:rPr>
                <w:rFonts w:ascii="Arial"/>
                <w:spacing w:val="80"/>
                <w:sz w:val="22"/>
              </w:rPr>
              <w:t> </w:t>
            </w:r>
            <w:r>
              <w:rPr>
                <w:rFonts w:ascii="Arial"/>
                <w:sz w:val="22"/>
              </w:rPr>
              <w:t>1</w:t>
            </w:r>
            <w:r>
              <w:rPr>
                <w:rFonts w:ascii="Arial"/>
                <w:spacing w:val="80"/>
                <w:sz w:val="22"/>
              </w:rPr>
              <w:t> </w:t>
            </w:r>
            <w:r>
              <w:rPr>
                <w:rFonts w:ascii="Arial"/>
                <w:sz w:val="22"/>
              </w:rPr>
              <w:t>y</w:t>
            </w:r>
            <w:r>
              <w:rPr>
                <w:rFonts w:ascii="Arial"/>
                <w:spacing w:val="80"/>
                <w:sz w:val="22"/>
              </w:rPr>
              <w:t> </w:t>
            </w:r>
            <w:r>
              <w:rPr>
                <w:rFonts w:ascii="Arial"/>
                <w:sz w:val="22"/>
              </w:rPr>
              <w:t>afines </w:t>
            </w:r>
            <w:r>
              <w:rPr>
                <w:rFonts w:ascii="Arial"/>
                <w:spacing w:val="-2"/>
                <w:sz w:val="22"/>
              </w:rPr>
              <w:t>elaboradas.</w:t>
            </w:r>
          </w:p>
        </w:tc>
        <w:tc>
          <w:tcPr>
            <w:tcW w:w="3704" w:type="dxa"/>
            <w:shd w:val="clear" w:color="auto" w:fill="C0C0C0"/>
          </w:tcPr>
          <w:p>
            <w:pPr>
              <w:pStyle w:val="TableParagraph"/>
              <w:spacing w:line="253" w:lineRule="exact"/>
              <w:ind w:left="20"/>
              <w:jc w:val="center"/>
              <w:rPr>
                <w:rFonts w:ascii="Arial"/>
                <w:sz w:val="22"/>
              </w:rPr>
            </w:pPr>
            <w:r>
              <w:rPr>
                <w:rFonts w:ascii="Arial"/>
                <w:spacing w:val="-5"/>
                <w:sz w:val="22"/>
              </w:rPr>
              <w:t>88%</w:t>
            </w:r>
          </w:p>
        </w:tc>
      </w:tr>
      <w:tr>
        <w:trPr>
          <w:trHeight w:val="758" w:hRule="atLeast"/>
        </w:trPr>
        <w:tc>
          <w:tcPr>
            <w:tcW w:w="7055" w:type="dxa"/>
          </w:tcPr>
          <w:p>
            <w:pPr>
              <w:pStyle w:val="TableParagraph"/>
              <w:spacing w:line="252" w:lineRule="exact"/>
              <w:ind w:left="580" w:right="85"/>
              <w:jc w:val="both"/>
              <w:rPr>
                <w:rFonts w:ascii="Arial" w:hAnsi="Arial"/>
                <w:sz w:val="22"/>
              </w:rPr>
            </w:pPr>
            <w:r>
              <w:rPr>
                <w:rFonts w:ascii="Arial" w:hAnsi="Arial"/>
                <w:sz w:val="22"/>
              </w:rPr>
              <w:t>4.3.2 Sistema de Indicadores para medición del avance en el cumplimiento de los ODS 1 y afines de las instituciones que ejecutan programas sociales ejecutándose.</w:t>
            </w:r>
          </w:p>
        </w:tc>
        <w:tc>
          <w:tcPr>
            <w:tcW w:w="3704" w:type="dxa"/>
          </w:tcPr>
          <w:p>
            <w:pPr>
              <w:pStyle w:val="TableParagraph"/>
              <w:spacing w:line="253" w:lineRule="exact"/>
              <w:ind w:left="20" w:right="3"/>
              <w:jc w:val="center"/>
              <w:rPr>
                <w:rFonts w:ascii="Arial"/>
                <w:sz w:val="22"/>
              </w:rPr>
            </w:pPr>
            <w:r>
              <w:rPr>
                <w:rFonts w:ascii="Arial"/>
                <w:spacing w:val="-4"/>
                <w:sz w:val="22"/>
              </w:rPr>
              <w:t>100%</w:t>
            </w:r>
          </w:p>
        </w:tc>
      </w:tr>
      <w:tr>
        <w:trPr>
          <w:trHeight w:val="758" w:hRule="atLeast"/>
        </w:trPr>
        <w:tc>
          <w:tcPr>
            <w:tcW w:w="7055" w:type="dxa"/>
            <w:shd w:val="clear" w:color="auto" w:fill="C0C0C0"/>
          </w:tcPr>
          <w:p>
            <w:pPr>
              <w:pStyle w:val="TableParagraph"/>
              <w:tabs>
                <w:tab w:pos="1391" w:val="left" w:leader="none"/>
                <w:tab w:pos="2936" w:val="left" w:leader="none"/>
                <w:tab w:pos="3627" w:val="left" w:leader="none"/>
                <w:tab w:pos="4780" w:val="left" w:leader="none"/>
                <w:tab w:pos="6153" w:val="left" w:leader="none"/>
              </w:tabs>
              <w:spacing w:line="253" w:lineRule="exact"/>
              <w:ind w:left="580"/>
              <w:rPr>
                <w:rFonts w:ascii="Arial"/>
                <w:sz w:val="22"/>
              </w:rPr>
            </w:pPr>
            <w:r>
              <w:rPr>
                <w:rFonts w:ascii="Arial"/>
                <w:spacing w:val="-2"/>
                <w:sz w:val="22"/>
              </w:rPr>
              <w:t>4.3.3</w:t>
            </w:r>
            <w:r>
              <w:rPr>
                <w:rFonts w:ascii="Arial"/>
                <w:sz w:val="22"/>
              </w:rPr>
              <w:tab/>
            </w:r>
            <w:r>
              <w:rPr>
                <w:rFonts w:ascii="Arial"/>
                <w:spacing w:val="-2"/>
                <w:sz w:val="22"/>
              </w:rPr>
              <w:t>Instituciones</w:t>
            </w:r>
            <w:r>
              <w:rPr>
                <w:rFonts w:ascii="Arial"/>
                <w:sz w:val="22"/>
              </w:rPr>
              <w:tab/>
            </w:r>
            <w:r>
              <w:rPr>
                <w:rFonts w:ascii="Arial"/>
                <w:spacing w:val="-5"/>
                <w:sz w:val="22"/>
              </w:rPr>
              <w:t>que</w:t>
            </w:r>
            <w:r>
              <w:rPr>
                <w:rFonts w:ascii="Arial"/>
                <w:sz w:val="22"/>
              </w:rPr>
              <w:tab/>
            </w:r>
            <w:r>
              <w:rPr>
                <w:rFonts w:ascii="Arial"/>
                <w:spacing w:val="-2"/>
                <w:sz w:val="22"/>
              </w:rPr>
              <w:t>ejecutan</w:t>
            </w:r>
            <w:r>
              <w:rPr>
                <w:rFonts w:ascii="Arial"/>
                <w:sz w:val="22"/>
              </w:rPr>
              <w:tab/>
            </w:r>
            <w:r>
              <w:rPr>
                <w:rFonts w:ascii="Arial"/>
                <w:spacing w:val="-2"/>
                <w:sz w:val="22"/>
              </w:rPr>
              <w:t>programas</w:t>
            </w:r>
            <w:r>
              <w:rPr>
                <w:rFonts w:ascii="Arial"/>
                <w:sz w:val="22"/>
              </w:rPr>
              <w:tab/>
            </w:r>
            <w:r>
              <w:rPr>
                <w:rFonts w:ascii="Arial"/>
                <w:spacing w:val="-2"/>
                <w:sz w:val="22"/>
              </w:rPr>
              <w:t>sociales</w:t>
            </w:r>
          </w:p>
          <w:p>
            <w:pPr>
              <w:pStyle w:val="TableParagraph"/>
              <w:spacing w:line="252" w:lineRule="exact"/>
              <w:ind w:left="580"/>
              <w:rPr>
                <w:rFonts w:ascii="Arial" w:hAnsi="Arial"/>
                <w:sz w:val="22"/>
              </w:rPr>
            </w:pPr>
            <w:r>
              <w:rPr>
                <w:rFonts w:ascii="Arial" w:hAnsi="Arial"/>
                <w:sz w:val="22"/>
              </w:rPr>
              <w:t>incorporando acciones en sus instrumentos de planificación para el cumplimiento del ODS 1 y afines.</w:t>
            </w:r>
          </w:p>
        </w:tc>
        <w:tc>
          <w:tcPr>
            <w:tcW w:w="3704" w:type="dxa"/>
            <w:shd w:val="clear" w:color="auto" w:fill="C0C0C0"/>
          </w:tcPr>
          <w:p>
            <w:pPr>
              <w:pStyle w:val="TableParagraph"/>
              <w:spacing w:line="253" w:lineRule="exact"/>
              <w:ind w:left="20" w:right="3"/>
              <w:jc w:val="center"/>
              <w:rPr>
                <w:rFonts w:ascii="Arial"/>
                <w:sz w:val="22"/>
              </w:rPr>
            </w:pPr>
            <w:r>
              <w:rPr>
                <w:rFonts w:ascii="Arial"/>
                <w:spacing w:val="-4"/>
                <w:sz w:val="22"/>
              </w:rPr>
              <w:t>100%</w:t>
            </w:r>
          </w:p>
        </w:tc>
      </w:tr>
      <w:tr>
        <w:trPr>
          <w:trHeight w:val="507" w:hRule="atLeast"/>
        </w:trPr>
        <w:tc>
          <w:tcPr>
            <w:tcW w:w="7055" w:type="dxa"/>
          </w:tcPr>
          <w:p>
            <w:pPr>
              <w:pStyle w:val="TableParagraph"/>
              <w:spacing w:line="252" w:lineRule="exact"/>
              <w:ind w:left="580"/>
              <w:rPr>
                <w:rFonts w:ascii="Arial"/>
                <w:sz w:val="22"/>
              </w:rPr>
            </w:pPr>
            <w:r>
              <w:rPr>
                <w:rFonts w:ascii="Arial"/>
                <w:sz w:val="22"/>
              </w:rPr>
              <w:t>4.4.1</w:t>
            </w:r>
            <w:r>
              <w:rPr>
                <w:rFonts w:ascii="Arial"/>
                <w:spacing w:val="40"/>
                <w:sz w:val="22"/>
              </w:rPr>
              <w:t> </w:t>
            </w:r>
            <w:r>
              <w:rPr>
                <w:rFonts w:ascii="Arial"/>
                <w:sz w:val="22"/>
              </w:rPr>
              <w:t>Instituciones</w:t>
            </w:r>
            <w:r>
              <w:rPr>
                <w:rFonts w:ascii="Arial"/>
                <w:spacing w:val="40"/>
                <w:sz w:val="22"/>
              </w:rPr>
              <w:t> </w:t>
            </w:r>
            <w:r>
              <w:rPr>
                <w:rFonts w:ascii="Arial"/>
                <w:sz w:val="22"/>
              </w:rPr>
              <w:t>vinculadas</w:t>
            </w:r>
            <w:r>
              <w:rPr>
                <w:rFonts w:ascii="Arial"/>
                <w:spacing w:val="40"/>
                <w:sz w:val="22"/>
              </w:rPr>
              <w:t> </w:t>
            </w:r>
            <w:r>
              <w:rPr>
                <w:rFonts w:ascii="Arial"/>
                <w:sz w:val="22"/>
              </w:rPr>
              <w:t>al</w:t>
            </w:r>
            <w:r>
              <w:rPr>
                <w:rFonts w:ascii="Arial"/>
                <w:spacing w:val="40"/>
                <w:sz w:val="22"/>
              </w:rPr>
              <w:t> </w:t>
            </w:r>
            <w:r>
              <w:rPr>
                <w:rFonts w:ascii="Arial"/>
                <w:sz w:val="22"/>
              </w:rPr>
              <w:t>proyecto</w:t>
            </w:r>
            <w:r>
              <w:rPr>
                <w:rFonts w:ascii="Arial"/>
                <w:spacing w:val="40"/>
                <w:sz w:val="22"/>
              </w:rPr>
              <w:t> </w:t>
            </w:r>
            <w:r>
              <w:rPr>
                <w:rFonts w:ascii="Arial"/>
                <w:sz w:val="22"/>
              </w:rPr>
              <w:t>de</w:t>
            </w:r>
            <w:r>
              <w:rPr>
                <w:rFonts w:ascii="Arial"/>
                <w:spacing w:val="40"/>
                <w:sz w:val="22"/>
              </w:rPr>
              <w:t> </w:t>
            </w:r>
            <w:r>
              <w:rPr>
                <w:rFonts w:ascii="Arial"/>
                <w:sz w:val="22"/>
              </w:rPr>
              <w:t>ley</w:t>
            </w:r>
            <w:r>
              <w:rPr>
                <w:rFonts w:ascii="Arial"/>
                <w:spacing w:val="40"/>
                <w:sz w:val="22"/>
              </w:rPr>
              <w:t> </w:t>
            </w:r>
            <w:r>
              <w:rPr>
                <w:rFonts w:ascii="Arial"/>
                <w:sz w:val="22"/>
              </w:rPr>
              <w:t>informadas</w:t>
            </w:r>
            <w:r>
              <w:rPr>
                <w:rFonts w:ascii="Arial"/>
                <w:spacing w:val="40"/>
                <w:sz w:val="22"/>
              </w:rPr>
              <w:t> </w:t>
            </w:r>
            <w:r>
              <w:rPr>
                <w:rFonts w:ascii="Arial"/>
                <w:sz w:val="22"/>
              </w:rPr>
              <w:t>sobre los avances del proceso.</w:t>
            </w:r>
          </w:p>
        </w:tc>
        <w:tc>
          <w:tcPr>
            <w:tcW w:w="3704" w:type="dxa"/>
          </w:tcPr>
          <w:p>
            <w:pPr>
              <w:pStyle w:val="TableParagraph"/>
              <w:spacing w:before="2"/>
              <w:ind w:left="20" w:right="2"/>
              <w:jc w:val="center"/>
              <w:rPr>
                <w:rFonts w:ascii="Arial"/>
                <w:sz w:val="22"/>
              </w:rPr>
            </w:pPr>
            <w:r>
              <w:rPr>
                <w:rFonts w:ascii="Arial"/>
                <w:spacing w:val="-2"/>
                <w:sz w:val="22"/>
              </w:rPr>
              <w:t>66.6%</w:t>
            </w:r>
          </w:p>
        </w:tc>
      </w:tr>
    </w:tbl>
    <w:p>
      <w:pPr>
        <w:pStyle w:val="BodyText"/>
        <w:spacing w:before="58"/>
        <w:rPr>
          <w:b/>
          <w:sz w:val="22"/>
        </w:rPr>
      </w:pPr>
    </w:p>
    <w:p>
      <w:pPr>
        <w:spacing w:before="0"/>
        <w:ind w:left="215" w:right="437" w:firstLine="0"/>
        <w:jc w:val="center"/>
        <w:rPr>
          <w:sz w:val="18"/>
        </w:rPr>
      </w:pPr>
      <w:r>
        <w:rPr>
          <w:sz w:val="18"/>
        </w:rPr>
        <w:t>Fuente:</w:t>
      </w:r>
      <w:r>
        <w:rPr>
          <w:spacing w:val="-4"/>
          <w:sz w:val="18"/>
        </w:rPr>
        <w:t> </w:t>
      </w:r>
      <w:r>
        <w:rPr>
          <w:sz w:val="18"/>
        </w:rPr>
        <w:t>Registros</w:t>
      </w:r>
      <w:r>
        <w:rPr>
          <w:spacing w:val="-2"/>
          <w:sz w:val="18"/>
        </w:rPr>
        <w:t> </w:t>
      </w:r>
      <w:r>
        <w:rPr>
          <w:sz w:val="18"/>
        </w:rPr>
        <w:t>en</w:t>
      </w:r>
      <w:r>
        <w:rPr>
          <w:spacing w:val="-3"/>
          <w:sz w:val="18"/>
        </w:rPr>
        <w:t> </w:t>
      </w:r>
      <w:r>
        <w:rPr>
          <w:sz w:val="18"/>
        </w:rPr>
        <w:t>la</w:t>
      </w:r>
      <w:r>
        <w:rPr>
          <w:spacing w:val="-4"/>
          <w:sz w:val="18"/>
        </w:rPr>
        <w:t> </w:t>
      </w:r>
      <w:r>
        <w:rPr>
          <w:sz w:val="18"/>
        </w:rPr>
        <w:t>herramienta</w:t>
      </w:r>
      <w:r>
        <w:rPr>
          <w:spacing w:val="-3"/>
          <w:sz w:val="18"/>
        </w:rPr>
        <w:t> </w:t>
      </w:r>
      <w:r>
        <w:rPr>
          <w:sz w:val="18"/>
        </w:rPr>
        <w:t>DELPHOS-informe</w:t>
      </w:r>
      <w:r>
        <w:rPr>
          <w:spacing w:val="-5"/>
          <w:sz w:val="18"/>
        </w:rPr>
        <w:t> </w:t>
      </w:r>
      <w:r>
        <w:rPr>
          <w:sz w:val="18"/>
        </w:rPr>
        <w:t>anual</w:t>
      </w:r>
      <w:r>
        <w:rPr>
          <w:spacing w:val="-3"/>
          <w:sz w:val="18"/>
        </w:rPr>
        <w:t> </w:t>
      </w:r>
      <w:r>
        <w:rPr>
          <w:sz w:val="18"/>
        </w:rPr>
        <w:t>POI-POGE</w:t>
      </w:r>
      <w:r>
        <w:rPr>
          <w:spacing w:val="-3"/>
          <w:sz w:val="18"/>
        </w:rPr>
        <w:t> </w:t>
      </w:r>
      <w:r>
        <w:rPr>
          <w:spacing w:val="-4"/>
          <w:sz w:val="18"/>
        </w:rPr>
        <w:t>2024</w:t>
      </w:r>
    </w:p>
    <w:p>
      <w:pPr>
        <w:pStyle w:val="BodyText"/>
        <w:rPr>
          <w:sz w:val="18"/>
        </w:rPr>
      </w:pPr>
    </w:p>
    <w:p>
      <w:pPr>
        <w:pStyle w:val="BodyText"/>
        <w:spacing w:before="36"/>
        <w:rPr>
          <w:sz w:val="18"/>
        </w:rPr>
      </w:pPr>
    </w:p>
    <w:p>
      <w:pPr>
        <w:pStyle w:val="BodyText"/>
        <w:ind w:left="165" w:right="384"/>
        <w:jc w:val="both"/>
      </w:pPr>
      <w:r>
        <w:rPr/>
        <w:t>Solo presenta un resultado “</w:t>
      </w:r>
      <w:r>
        <w:rPr>
          <w:u w:val="single"/>
        </w:rPr>
        <w:t>E4 AE2 R2: Estructura de articulación interinstitucional de la oferta de</w:t>
      </w:r>
      <w:r>
        <w:rPr>
          <w:u w:val="none"/>
        </w:rPr>
        <w:t> </w:t>
      </w:r>
      <w:r>
        <w:rPr>
          <w:u w:val="single"/>
        </w:rPr>
        <w:t>servicios sociales diseñada y ejecutándose</w:t>
      </w:r>
      <w:r>
        <w:rPr>
          <w:u w:val="none"/>
        </w:rPr>
        <w:t>”, con avance crítico, debido a que en la acciones programadas para su ejecución se obtuvo solo un logro parcial con las sesiones de revisión de oferta de servicios sociales y su financiamiento con instituciones del sector, debido a que se inició con el plan piloto, por medio del “Convenio interinstitucional de Red de Cuido” , las otras sesiones de articulación se reprogramarán para el II semestre 2024.</w:t>
      </w:r>
    </w:p>
    <w:p>
      <w:pPr>
        <w:pStyle w:val="BodyText"/>
      </w:pPr>
    </w:p>
    <w:p>
      <w:pPr>
        <w:pStyle w:val="BodyText"/>
        <w:spacing w:before="1"/>
        <w:ind w:left="165" w:right="393"/>
        <w:jc w:val="both"/>
      </w:pPr>
      <w:r>
        <w:rPr/>
        <w:t>Por lo que se concluye, que pese a su atraso crítico, la implementación de las medidas de administración programadas, dan evidencia de que el rezago se podría superar.</w:t>
      </w:r>
    </w:p>
    <w:p>
      <w:pPr>
        <w:pStyle w:val="BodyText"/>
        <w:spacing w:after="0"/>
        <w:jc w:val="both"/>
        <w:sectPr>
          <w:headerReference w:type="default" r:id="rId75"/>
          <w:footerReference w:type="default" r:id="rId76"/>
          <w:pgSz w:w="13370" w:h="17280"/>
          <w:pgMar w:header="0" w:footer="969" w:top="340" w:bottom="1160" w:left="1275" w:right="992"/>
        </w:sectPr>
      </w:pPr>
    </w:p>
    <w:p>
      <w:pPr>
        <w:pStyle w:val="Heading5"/>
        <w:numPr>
          <w:ilvl w:val="0"/>
          <w:numId w:val="11"/>
        </w:numPr>
        <w:tabs>
          <w:tab w:pos="377" w:val="left" w:leader="none"/>
        </w:tabs>
        <w:spacing w:line="240" w:lineRule="auto" w:before="78" w:after="0"/>
        <w:ind w:left="377" w:right="0" w:hanging="212"/>
        <w:jc w:val="both"/>
      </w:pPr>
      <w:r>
        <w:rPr/>
        <w:t>Gestión</w:t>
      </w:r>
      <w:r>
        <w:rPr>
          <w:spacing w:val="-5"/>
        </w:rPr>
        <w:t> </w:t>
      </w:r>
      <w:r>
        <w:rPr/>
        <w:t>de</w:t>
      </w:r>
      <w:r>
        <w:rPr>
          <w:spacing w:val="-4"/>
        </w:rPr>
        <w:t> </w:t>
      </w:r>
      <w:r>
        <w:rPr/>
        <w:t>recursos</w:t>
      </w:r>
      <w:r>
        <w:rPr>
          <w:spacing w:val="-2"/>
        </w:rPr>
        <w:t> </w:t>
      </w:r>
      <w:r>
        <w:rPr/>
        <w:t>y</w:t>
      </w:r>
      <w:r>
        <w:rPr>
          <w:spacing w:val="-3"/>
        </w:rPr>
        <w:t> </w:t>
      </w:r>
      <w:r>
        <w:rPr/>
        <w:t>alianzas</w:t>
      </w:r>
      <w:r>
        <w:rPr>
          <w:spacing w:val="-4"/>
        </w:rPr>
        <w:t> </w:t>
      </w:r>
      <w:r>
        <w:rPr>
          <w:spacing w:val="-2"/>
        </w:rPr>
        <w:t>estratégicas</w:t>
      </w:r>
    </w:p>
    <w:p>
      <w:pPr>
        <w:pStyle w:val="BodyText"/>
        <w:rPr>
          <w:b/>
        </w:rPr>
      </w:pPr>
    </w:p>
    <w:p>
      <w:pPr>
        <w:pStyle w:val="BodyText"/>
        <w:ind w:left="165" w:right="384"/>
        <w:jc w:val="both"/>
      </w:pPr>
      <w:r>
        <w:rPr/>
        <w:t>El Eje Estratégico 5-Gestión de recursos y alianzas estratégicas para el I semestre del 2024 tiene 14 resultados</w:t>
      </w:r>
      <w:r>
        <w:rPr>
          <w:spacing w:val="-2"/>
        </w:rPr>
        <w:t> </w:t>
      </w:r>
      <w:r>
        <w:rPr/>
        <w:t>activos</w:t>
      </w:r>
      <w:r>
        <w:rPr>
          <w:spacing w:val="-5"/>
        </w:rPr>
        <w:t> </w:t>
      </w:r>
      <w:r>
        <w:rPr/>
        <w:t>de los cuales</w:t>
      </w:r>
      <w:r>
        <w:rPr>
          <w:spacing w:val="-2"/>
        </w:rPr>
        <w:t> </w:t>
      </w:r>
      <w:r>
        <w:rPr/>
        <w:t>10 se encuentran según</w:t>
      </w:r>
      <w:r>
        <w:rPr>
          <w:spacing w:val="-1"/>
        </w:rPr>
        <w:t> </w:t>
      </w:r>
      <w:r>
        <w:rPr/>
        <w:t>lo programado, y 4</w:t>
      </w:r>
      <w:r>
        <w:rPr>
          <w:u w:val="single"/>
        </w:rPr>
        <w:t>,</w:t>
      </w:r>
      <w:r>
        <w:rPr>
          <w:spacing w:val="-1"/>
          <w:u w:val="single"/>
        </w:rPr>
        <w:t> </w:t>
      </w:r>
      <w:r>
        <w:rPr>
          <w:u w:val="none"/>
        </w:rPr>
        <w:t>reporta</w:t>
      </w:r>
      <w:r>
        <w:rPr>
          <w:spacing w:val="-2"/>
          <w:u w:val="none"/>
        </w:rPr>
        <w:t> </w:t>
      </w:r>
      <w:r>
        <w:rPr>
          <w:u w:val="none"/>
        </w:rPr>
        <w:t>un avance en el</w:t>
      </w:r>
      <w:r>
        <w:rPr>
          <w:spacing w:val="-3"/>
          <w:u w:val="none"/>
        </w:rPr>
        <w:t> </w:t>
      </w:r>
      <w:r>
        <w:rPr>
          <w:u w:val="none"/>
        </w:rPr>
        <w:t>periodo en estudio en</w:t>
      </w:r>
      <w:r>
        <w:rPr>
          <w:spacing w:val="-2"/>
          <w:u w:val="none"/>
        </w:rPr>
        <w:t> </w:t>
      </w:r>
      <w:r>
        <w:rPr>
          <w:u w:val="none"/>
        </w:rPr>
        <w:t>estado</w:t>
      </w:r>
      <w:r>
        <w:rPr>
          <w:spacing w:val="-2"/>
          <w:u w:val="none"/>
        </w:rPr>
        <w:t> </w:t>
      </w:r>
      <w:r>
        <w:rPr>
          <w:u w:val="none"/>
        </w:rPr>
        <w:t>de</w:t>
      </w:r>
      <w:r>
        <w:rPr>
          <w:spacing w:val="-2"/>
          <w:u w:val="none"/>
        </w:rPr>
        <w:t> </w:t>
      </w:r>
      <w:r>
        <w:rPr>
          <w:u w:val="none"/>
        </w:rPr>
        <w:t>avance</w:t>
      </w:r>
      <w:r>
        <w:rPr>
          <w:spacing w:val="-2"/>
          <w:u w:val="none"/>
        </w:rPr>
        <w:t> </w:t>
      </w:r>
      <w:r>
        <w:rPr>
          <w:u w:val="none"/>
        </w:rPr>
        <w:t>crítico, tal y como se observa en el siguiente</w:t>
      </w:r>
      <w:r>
        <w:rPr>
          <w:spacing w:val="-1"/>
          <w:u w:val="none"/>
        </w:rPr>
        <w:t> </w:t>
      </w:r>
      <w:r>
        <w:rPr>
          <w:u w:val="none"/>
        </w:rPr>
        <w:t>cuadro:</w:t>
      </w:r>
    </w:p>
    <w:p>
      <w:pPr>
        <w:pStyle w:val="BodyText"/>
        <w:spacing w:before="182"/>
      </w:pPr>
    </w:p>
    <w:p>
      <w:pPr>
        <w:spacing w:before="0"/>
        <w:ind w:left="215" w:right="437" w:firstLine="0"/>
        <w:jc w:val="center"/>
        <w:rPr>
          <w:b/>
          <w:sz w:val="22"/>
        </w:rPr>
      </w:pPr>
      <w:r>
        <w:rPr>
          <w:b/>
          <w:sz w:val="22"/>
        </w:rPr>
        <w:t>Cuadro</w:t>
      </w:r>
      <w:r>
        <w:rPr>
          <w:b/>
          <w:spacing w:val="-4"/>
          <w:sz w:val="22"/>
        </w:rPr>
        <w:t> </w:t>
      </w:r>
      <w:r>
        <w:rPr>
          <w:b/>
          <w:sz w:val="22"/>
        </w:rPr>
        <w:t>#</w:t>
      </w:r>
      <w:r>
        <w:rPr>
          <w:b/>
          <w:spacing w:val="-1"/>
          <w:sz w:val="22"/>
        </w:rPr>
        <w:t> </w:t>
      </w:r>
      <w:r>
        <w:rPr>
          <w:b/>
          <w:spacing w:val="-7"/>
          <w:sz w:val="22"/>
        </w:rPr>
        <w:t>6.</w:t>
      </w:r>
    </w:p>
    <w:p>
      <w:pPr>
        <w:spacing w:before="2"/>
        <w:ind w:left="969" w:right="1194" w:firstLine="0"/>
        <w:jc w:val="center"/>
        <w:rPr>
          <w:b/>
          <w:sz w:val="22"/>
        </w:rPr>
      </w:pPr>
      <w:r>
        <w:rPr>
          <w:b/>
          <w:sz w:val="22"/>
        </w:rPr>
        <w:t>Subgrupo</w:t>
      </w:r>
      <w:r>
        <w:rPr>
          <w:b/>
          <w:spacing w:val="-4"/>
          <w:sz w:val="22"/>
        </w:rPr>
        <w:t> </w:t>
      </w:r>
      <w:r>
        <w:rPr>
          <w:b/>
          <w:sz w:val="22"/>
        </w:rPr>
        <w:t>de</w:t>
      </w:r>
      <w:r>
        <w:rPr>
          <w:b/>
          <w:spacing w:val="-4"/>
          <w:sz w:val="22"/>
        </w:rPr>
        <w:t> </w:t>
      </w:r>
      <w:r>
        <w:rPr>
          <w:b/>
          <w:sz w:val="22"/>
        </w:rPr>
        <w:t>productos</w:t>
      </w:r>
      <w:r>
        <w:rPr>
          <w:b/>
          <w:spacing w:val="-4"/>
          <w:sz w:val="22"/>
        </w:rPr>
        <w:t> </w:t>
      </w:r>
      <w:r>
        <w:rPr>
          <w:b/>
          <w:sz w:val="22"/>
        </w:rPr>
        <w:t>vinculados</w:t>
      </w:r>
      <w:r>
        <w:rPr>
          <w:b/>
          <w:spacing w:val="-4"/>
          <w:sz w:val="22"/>
        </w:rPr>
        <w:t> </w:t>
      </w:r>
      <w:r>
        <w:rPr>
          <w:b/>
          <w:sz w:val="22"/>
        </w:rPr>
        <w:t>al</w:t>
      </w:r>
      <w:r>
        <w:rPr>
          <w:b/>
          <w:spacing w:val="-2"/>
          <w:sz w:val="22"/>
        </w:rPr>
        <w:t> </w:t>
      </w:r>
      <w:r>
        <w:rPr>
          <w:b/>
          <w:sz w:val="22"/>
        </w:rPr>
        <w:t>Plan</w:t>
      </w:r>
      <w:r>
        <w:rPr>
          <w:b/>
          <w:spacing w:val="-4"/>
          <w:sz w:val="22"/>
        </w:rPr>
        <w:t> </w:t>
      </w:r>
      <w:r>
        <w:rPr>
          <w:b/>
          <w:sz w:val="22"/>
        </w:rPr>
        <w:t>Estratégico</w:t>
      </w:r>
      <w:r>
        <w:rPr>
          <w:b/>
          <w:spacing w:val="-6"/>
          <w:sz w:val="22"/>
        </w:rPr>
        <w:t> </w:t>
      </w:r>
      <w:r>
        <w:rPr>
          <w:b/>
          <w:sz w:val="22"/>
        </w:rPr>
        <w:t>Institucional</w:t>
      </w:r>
      <w:r>
        <w:rPr>
          <w:b/>
          <w:spacing w:val="-1"/>
          <w:sz w:val="22"/>
        </w:rPr>
        <w:t> </w:t>
      </w:r>
      <w:r>
        <w:rPr>
          <w:b/>
          <w:sz w:val="22"/>
        </w:rPr>
        <w:t>-PEI</w:t>
      </w:r>
      <w:r>
        <w:rPr>
          <w:b/>
          <w:spacing w:val="-2"/>
          <w:sz w:val="22"/>
        </w:rPr>
        <w:t> </w:t>
      </w:r>
      <w:r>
        <w:rPr>
          <w:b/>
          <w:sz w:val="22"/>
        </w:rPr>
        <w:t>2023-2028, en estado según lo programado I semestre del PEI 2023-2028.</w:t>
      </w:r>
    </w:p>
    <w:p>
      <w:pPr>
        <w:pStyle w:val="BodyText"/>
        <w:spacing w:before="183"/>
        <w:rPr>
          <w:b/>
          <w:sz w:val="20"/>
        </w:rPr>
      </w:pPr>
    </w:p>
    <w:tbl>
      <w:tblPr>
        <w:tblW w:w="0" w:type="auto"/>
        <w:jc w:val="left"/>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479"/>
        <w:gridCol w:w="1985"/>
      </w:tblGrid>
      <w:tr>
        <w:trPr>
          <w:trHeight w:val="1264" w:hRule="atLeast"/>
        </w:trPr>
        <w:tc>
          <w:tcPr>
            <w:tcW w:w="7479" w:type="dxa"/>
            <w:tcBorders>
              <w:bottom w:val="single" w:sz="18" w:space="0" w:color="000000"/>
            </w:tcBorders>
          </w:tcPr>
          <w:p>
            <w:pPr>
              <w:pStyle w:val="TableParagraph"/>
              <w:rPr>
                <w:rFonts w:ascii="Arial"/>
                <w:b/>
                <w:sz w:val="22"/>
              </w:rPr>
            </w:pPr>
          </w:p>
          <w:p>
            <w:pPr>
              <w:pStyle w:val="TableParagraph"/>
              <w:rPr>
                <w:rFonts w:ascii="Arial"/>
                <w:b/>
                <w:sz w:val="22"/>
              </w:rPr>
            </w:pPr>
          </w:p>
          <w:p>
            <w:pPr>
              <w:pStyle w:val="TableParagraph"/>
              <w:ind w:left="20"/>
              <w:jc w:val="center"/>
              <w:rPr>
                <w:rFonts w:ascii="Arial"/>
                <w:b/>
                <w:sz w:val="22"/>
              </w:rPr>
            </w:pPr>
            <w:r>
              <w:rPr>
                <w:rFonts w:ascii="Arial"/>
                <w:b/>
                <w:spacing w:val="-2"/>
                <w:sz w:val="22"/>
              </w:rPr>
              <w:t>Actividades</w:t>
            </w:r>
          </w:p>
        </w:tc>
        <w:tc>
          <w:tcPr>
            <w:tcW w:w="1985" w:type="dxa"/>
            <w:tcBorders>
              <w:bottom w:val="single" w:sz="18" w:space="0" w:color="000000"/>
            </w:tcBorders>
          </w:tcPr>
          <w:p>
            <w:pPr>
              <w:pStyle w:val="TableParagraph"/>
              <w:ind w:left="110" w:right="90" w:firstLine="1"/>
              <w:jc w:val="center"/>
              <w:rPr>
                <w:rFonts w:ascii="Arial"/>
                <w:b/>
                <w:sz w:val="22"/>
              </w:rPr>
            </w:pPr>
            <w:r>
              <w:rPr>
                <w:rFonts w:ascii="Arial"/>
                <w:b/>
                <w:sz w:val="22"/>
              </w:rPr>
              <w:t>Porcentaje de avance para el periodo I</w:t>
            </w:r>
          </w:p>
          <w:p>
            <w:pPr>
              <w:pStyle w:val="TableParagraph"/>
              <w:spacing w:line="252" w:lineRule="exact"/>
              <w:ind w:left="110" w:right="90"/>
              <w:jc w:val="center"/>
              <w:rPr>
                <w:rFonts w:ascii="Arial"/>
                <w:b/>
                <w:sz w:val="22"/>
              </w:rPr>
            </w:pPr>
            <w:r>
              <w:rPr>
                <w:rFonts w:ascii="Arial"/>
                <w:b/>
                <w:sz w:val="22"/>
              </w:rPr>
              <w:t>semestre</w:t>
            </w:r>
            <w:r>
              <w:rPr>
                <w:rFonts w:ascii="Arial"/>
                <w:b/>
                <w:spacing w:val="-16"/>
                <w:sz w:val="22"/>
              </w:rPr>
              <w:t> </w:t>
            </w:r>
            <w:r>
              <w:rPr>
                <w:rFonts w:ascii="Arial"/>
                <w:b/>
                <w:sz w:val="22"/>
              </w:rPr>
              <w:t>del</w:t>
            </w:r>
            <w:r>
              <w:rPr>
                <w:rFonts w:ascii="Arial"/>
                <w:b/>
                <w:spacing w:val="-15"/>
                <w:sz w:val="22"/>
              </w:rPr>
              <w:t> </w:t>
            </w:r>
            <w:r>
              <w:rPr>
                <w:rFonts w:ascii="Arial"/>
                <w:b/>
                <w:sz w:val="22"/>
              </w:rPr>
              <w:t>PEI </w:t>
            </w:r>
            <w:r>
              <w:rPr>
                <w:rFonts w:ascii="Arial"/>
                <w:b/>
                <w:spacing w:val="-2"/>
                <w:sz w:val="22"/>
              </w:rPr>
              <w:t>2023-2028.</w:t>
            </w:r>
          </w:p>
        </w:tc>
      </w:tr>
      <w:tr>
        <w:trPr>
          <w:trHeight w:val="507" w:hRule="atLeast"/>
        </w:trPr>
        <w:tc>
          <w:tcPr>
            <w:tcW w:w="7479" w:type="dxa"/>
            <w:tcBorders>
              <w:top w:val="single" w:sz="18" w:space="0" w:color="000000"/>
            </w:tcBorders>
            <w:shd w:val="clear" w:color="auto" w:fill="C0C0C0"/>
          </w:tcPr>
          <w:p>
            <w:pPr>
              <w:pStyle w:val="TableParagraph"/>
              <w:spacing w:line="250" w:lineRule="atLeast"/>
              <w:ind w:left="448" w:hanging="123"/>
              <w:rPr>
                <w:rFonts w:ascii="Arial" w:hAnsi="Arial"/>
                <w:sz w:val="22"/>
              </w:rPr>
            </w:pPr>
            <w:r>
              <w:rPr>
                <w:rFonts w:ascii="Arial" w:hAnsi="Arial"/>
                <w:sz w:val="22"/>
              </w:rPr>
              <w:t>5.3.2</w:t>
            </w:r>
            <w:r>
              <w:rPr>
                <w:rFonts w:ascii="Arial" w:hAnsi="Arial"/>
                <w:spacing w:val="-6"/>
                <w:sz w:val="22"/>
              </w:rPr>
              <w:t> </w:t>
            </w:r>
            <w:r>
              <w:rPr>
                <w:rFonts w:ascii="Arial" w:hAnsi="Arial"/>
                <w:sz w:val="22"/>
              </w:rPr>
              <w:t>Equipamiento</w:t>
            </w:r>
            <w:r>
              <w:rPr>
                <w:rFonts w:ascii="Arial" w:hAnsi="Arial"/>
                <w:spacing w:val="-6"/>
                <w:sz w:val="22"/>
              </w:rPr>
              <w:t> </w:t>
            </w:r>
            <w:r>
              <w:rPr>
                <w:rFonts w:ascii="Arial" w:hAnsi="Arial"/>
                <w:sz w:val="22"/>
              </w:rPr>
              <w:t>óptimo</w:t>
            </w:r>
            <w:r>
              <w:rPr>
                <w:rFonts w:ascii="Arial" w:hAnsi="Arial"/>
                <w:spacing w:val="-4"/>
                <w:sz w:val="22"/>
              </w:rPr>
              <w:t> </w:t>
            </w:r>
            <w:r>
              <w:rPr>
                <w:rFonts w:ascii="Arial" w:hAnsi="Arial"/>
                <w:sz w:val="22"/>
              </w:rPr>
              <w:t>y</w:t>
            </w:r>
            <w:r>
              <w:rPr>
                <w:rFonts w:ascii="Arial" w:hAnsi="Arial"/>
                <w:spacing w:val="-5"/>
                <w:sz w:val="22"/>
              </w:rPr>
              <w:t> </w:t>
            </w:r>
            <w:r>
              <w:rPr>
                <w:rFonts w:ascii="Arial" w:hAnsi="Arial"/>
                <w:sz w:val="22"/>
              </w:rPr>
              <w:t>proyectos</w:t>
            </w:r>
            <w:r>
              <w:rPr>
                <w:rFonts w:ascii="Arial" w:hAnsi="Arial"/>
                <w:spacing w:val="-6"/>
                <w:sz w:val="22"/>
              </w:rPr>
              <w:t> </w:t>
            </w:r>
            <w:r>
              <w:rPr>
                <w:rFonts w:ascii="Arial" w:hAnsi="Arial"/>
                <w:sz w:val="22"/>
              </w:rPr>
              <w:t>de</w:t>
            </w:r>
            <w:r>
              <w:rPr>
                <w:rFonts w:ascii="Arial" w:hAnsi="Arial"/>
                <w:spacing w:val="-6"/>
                <w:sz w:val="22"/>
              </w:rPr>
              <w:t> </w:t>
            </w:r>
            <w:r>
              <w:rPr>
                <w:rFonts w:ascii="Arial" w:hAnsi="Arial"/>
                <w:sz w:val="22"/>
              </w:rPr>
              <w:t>automatización</w:t>
            </w:r>
            <w:r>
              <w:rPr>
                <w:rFonts w:ascii="Arial" w:hAnsi="Arial"/>
                <w:spacing w:val="-6"/>
                <w:sz w:val="22"/>
              </w:rPr>
              <w:t> </w:t>
            </w:r>
            <w:r>
              <w:rPr>
                <w:rFonts w:ascii="Arial" w:hAnsi="Arial"/>
                <w:sz w:val="22"/>
              </w:rPr>
              <w:t>tecnológica implementados para mejorar y modernizar la operación del negocio</w:t>
            </w:r>
          </w:p>
        </w:tc>
        <w:tc>
          <w:tcPr>
            <w:tcW w:w="1985" w:type="dxa"/>
            <w:tcBorders>
              <w:top w:val="single" w:sz="18" w:space="0" w:color="000000"/>
            </w:tcBorders>
            <w:shd w:val="clear" w:color="auto" w:fill="C0C0C0"/>
          </w:tcPr>
          <w:p>
            <w:pPr>
              <w:pStyle w:val="TableParagraph"/>
              <w:spacing w:before="128"/>
              <w:ind w:left="19"/>
              <w:jc w:val="center"/>
              <w:rPr>
                <w:rFonts w:ascii="Arial"/>
                <w:sz w:val="22"/>
              </w:rPr>
            </w:pPr>
            <w:r>
              <w:rPr>
                <w:rFonts w:ascii="Arial"/>
                <w:spacing w:val="-5"/>
                <w:sz w:val="22"/>
              </w:rPr>
              <w:t>0%</w:t>
            </w:r>
          </w:p>
        </w:tc>
      </w:tr>
      <w:tr>
        <w:trPr>
          <w:trHeight w:val="760" w:hRule="atLeast"/>
        </w:trPr>
        <w:tc>
          <w:tcPr>
            <w:tcW w:w="7479" w:type="dxa"/>
          </w:tcPr>
          <w:p>
            <w:pPr>
              <w:pStyle w:val="TableParagraph"/>
              <w:ind w:left="198" w:firstLine="115"/>
              <w:rPr>
                <w:rFonts w:ascii="Arial" w:hAnsi="Arial"/>
                <w:sz w:val="22"/>
              </w:rPr>
            </w:pPr>
            <w:r>
              <w:rPr>
                <w:rFonts w:ascii="Arial" w:hAnsi="Arial"/>
                <w:sz w:val="22"/>
              </w:rPr>
              <w:t>5.4.2 Emitida o actualizada la normativa para contratación de bienes y servicios,</w:t>
            </w:r>
            <w:r>
              <w:rPr>
                <w:rFonts w:ascii="Arial" w:hAnsi="Arial"/>
                <w:spacing w:val="-4"/>
                <w:sz w:val="22"/>
              </w:rPr>
              <w:t> </w:t>
            </w:r>
            <w:r>
              <w:rPr>
                <w:rFonts w:ascii="Arial" w:hAnsi="Arial"/>
                <w:sz w:val="22"/>
              </w:rPr>
              <w:t>y</w:t>
            </w:r>
            <w:r>
              <w:rPr>
                <w:rFonts w:ascii="Arial" w:hAnsi="Arial"/>
                <w:spacing w:val="-5"/>
                <w:sz w:val="22"/>
              </w:rPr>
              <w:t> </w:t>
            </w:r>
            <w:r>
              <w:rPr>
                <w:rFonts w:ascii="Arial" w:hAnsi="Arial"/>
                <w:sz w:val="22"/>
              </w:rPr>
              <w:t>manual</w:t>
            </w:r>
            <w:r>
              <w:rPr>
                <w:rFonts w:ascii="Arial" w:hAnsi="Arial"/>
                <w:spacing w:val="-3"/>
                <w:sz w:val="22"/>
              </w:rPr>
              <w:t> </w:t>
            </w:r>
            <w:r>
              <w:rPr>
                <w:rFonts w:ascii="Arial" w:hAnsi="Arial"/>
                <w:sz w:val="22"/>
              </w:rPr>
              <w:t>operativo</w:t>
            </w:r>
            <w:r>
              <w:rPr>
                <w:rFonts w:ascii="Arial" w:hAnsi="Arial"/>
                <w:spacing w:val="-3"/>
                <w:sz w:val="22"/>
              </w:rPr>
              <w:t> </w:t>
            </w:r>
            <w:r>
              <w:rPr>
                <w:rFonts w:ascii="Arial" w:hAnsi="Arial"/>
                <w:sz w:val="22"/>
              </w:rPr>
              <w:t>para</w:t>
            </w:r>
            <w:r>
              <w:rPr>
                <w:rFonts w:ascii="Arial" w:hAnsi="Arial"/>
                <w:spacing w:val="-5"/>
                <w:sz w:val="22"/>
              </w:rPr>
              <w:t> </w:t>
            </w:r>
            <w:r>
              <w:rPr>
                <w:rFonts w:ascii="Arial" w:hAnsi="Arial"/>
                <w:sz w:val="22"/>
              </w:rPr>
              <w:t>una</w:t>
            </w:r>
            <w:r>
              <w:rPr>
                <w:rFonts w:ascii="Arial" w:hAnsi="Arial"/>
                <w:spacing w:val="-5"/>
                <w:sz w:val="22"/>
              </w:rPr>
              <w:t> </w:t>
            </w:r>
            <w:r>
              <w:rPr>
                <w:rFonts w:ascii="Arial" w:hAnsi="Arial"/>
                <w:sz w:val="22"/>
              </w:rPr>
              <w:t>mayor</w:t>
            </w:r>
            <w:r>
              <w:rPr>
                <w:rFonts w:ascii="Arial" w:hAnsi="Arial"/>
                <w:spacing w:val="-3"/>
                <w:sz w:val="22"/>
              </w:rPr>
              <w:t> </w:t>
            </w:r>
            <w:r>
              <w:rPr>
                <w:rFonts w:ascii="Arial" w:hAnsi="Arial"/>
                <w:sz w:val="22"/>
              </w:rPr>
              <w:t>eficiencia</w:t>
            </w:r>
            <w:r>
              <w:rPr>
                <w:rFonts w:ascii="Arial" w:hAnsi="Arial"/>
                <w:spacing w:val="-3"/>
                <w:sz w:val="22"/>
              </w:rPr>
              <w:t> </w:t>
            </w:r>
            <w:r>
              <w:rPr>
                <w:rFonts w:ascii="Arial" w:hAnsi="Arial"/>
                <w:sz w:val="22"/>
              </w:rPr>
              <w:t>en</w:t>
            </w:r>
            <w:r>
              <w:rPr>
                <w:rFonts w:ascii="Arial" w:hAnsi="Arial"/>
                <w:spacing w:val="-3"/>
                <w:sz w:val="22"/>
              </w:rPr>
              <w:t> </w:t>
            </w:r>
            <w:r>
              <w:rPr>
                <w:rFonts w:ascii="Arial" w:hAnsi="Arial"/>
                <w:sz w:val="22"/>
              </w:rPr>
              <w:t>la</w:t>
            </w:r>
            <w:r>
              <w:rPr>
                <w:rFonts w:ascii="Arial" w:hAnsi="Arial"/>
                <w:spacing w:val="-3"/>
                <w:sz w:val="22"/>
              </w:rPr>
              <w:t> </w:t>
            </w:r>
            <w:r>
              <w:rPr>
                <w:rFonts w:ascii="Arial" w:hAnsi="Arial"/>
                <w:sz w:val="22"/>
              </w:rPr>
              <w:t>gestión</w:t>
            </w:r>
            <w:r>
              <w:rPr>
                <w:rFonts w:ascii="Arial" w:hAnsi="Arial"/>
                <w:spacing w:val="-3"/>
                <w:sz w:val="22"/>
              </w:rPr>
              <w:t> </w:t>
            </w:r>
            <w:r>
              <w:rPr>
                <w:rFonts w:ascii="Arial" w:hAnsi="Arial"/>
                <w:sz w:val="22"/>
              </w:rPr>
              <w:t>del</w:t>
            </w:r>
          </w:p>
          <w:p>
            <w:pPr>
              <w:pStyle w:val="TableParagraph"/>
              <w:spacing w:line="234" w:lineRule="exact"/>
              <w:ind w:left="3321"/>
              <w:rPr>
                <w:rFonts w:ascii="Arial"/>
                <w:sz w:val="22"/>
              </w:rPr>
            </w:pPr>
            <w:r>
              <w:rPr>
                <w:rFonts w:ascii="Arial"/>
                <w:spacing w:val="-2"/>
                <w:sz w:val="22"/>
              </w:rPr>
              <w:t>negocio.</w:t>
            </w:r>
          </w:p>
        </w:tc>
        <w:tc>
          <w:tcPr>
            <w:tcW w:w="1985" w:type="dxa"/>
          </w:tcPr>
          <w:p>
            <w:pPr>
              <w:pStyle w:val="TableParagraph"/>
              <w:spacing w:before="1"/>
              <w:rPr>
                <w:rFonts w:ascii="Arial"/>
                <w:b/>
                <w:sz w:val="22"/>
              </w:rPr>
            </w:pPr>
          </w:p>
          <w:p>
            <w:pPr>
              <w:pStyle w:val="TableParagraph"/>
              <w:ind w:left="22"/>
              <w:jc w:val="center"/>
              <w:rPr>
                <w:rFonts w:ascii="Arial"/>
                <w:sz w:val="22"/>
              </w:rPr>
            </w:pPr>
            <w:r>
              <w:rPr>
                <w:rFonts w:ascii="Arial"/>
                <w:spacing w:val="-5"/>
                <w:sz w:val="22"/>
              </w:rPr>
              <w:t>30%</w:t>
            </w:r>
          </w:p>
        </w:tc>
      </w:tr>
      <w:tr>
        <w:trPr>
          <w:trHeight w:val="251" w:hRule="atLeast"/>
        </w:trPr>
        <w:tc>
          <w:tcPr>
            <w:tcW w:w="7479" w:type="dxa"/>
            <w:shd w:val="clear" w:color="auto" w:fill="C0C0C0"/>
          </w:tcPr>
          <w:p>
            <w:pPr>
              <w:pStyle w:val="TableParagraph"/>
              <w:spacing w:line="231" w:lineRule="exact"/>
              <w:ind w:left="978"/>
              <w:rPr>
                <w:rFonts w:ascii="Arial"/>
                <w:sz w:val="22"/>
              </w:rPr>
            </w:pPr>
            <w:r>
              <w:rPr>
                <w:rFonts w:ascii="Arial"/>
                <w:sz w:val="22"/>
              </w:rPr>
              <w:t>5.5.2</w:t>
            </w:r>
            <w:r>
              <w:rPr>
                <w:rFonts w:ascii="Arial"/>
                <w:spacing w:val="-9"/>
                <w:sz w:val="22"/>
              </w:rPr>
              <w:t> </w:t>
            </w:r>
            <w:r>
              <w:rPr>
                <w:rFonts w:ascii="Arial"/>
                <w:sz w:val="22"/>
              </w:rPr>
              <w:t>E-commerce</w:t>
            </w:r>
            <w:r>
              <w:rPr>
                <w:rFonts w:ascii="Arial"/>
                <w:spacing w:val="-7"/>
                <w:sz w:val="22"/>
              </w:rPr>
              <w:t> </w:t>
            </w:r>
            <w:r>
              <w:rPr>
                <w:rFonts w:ascii="Arial"/>
                <w:sz w:val="22"/>
              </w:rPr>
              <w:t>optimizado</w:t>
            </w:r>
            <w:r>
              <w:rPr>
                <w:rFonts w:ascii="Arial"/>
                <w:spacing w:val="-5"/>
                <w:sz w:val="22"/>
              </w:rPr>
              <w:t> </w:t>
            </w:r>
            <w:r>
              <w:rPr>
                <w:rFonts w:ascii="Arial"/>
                <w:sz w:val="22"/>
              </w:rPr>
              <w:t>para</w:t>
            </w:r>
            <w:r>
              <w:rPr>
                <w:rFonts w:ascii="Arial"/>
                <w:spacing w:val="-7"/>
                <w:sz w:val="22"/>
              </w:rPr>
              <w:t> </w:t>
            </w:r>
            <w:r>
              <w:rPr>
                <w:rFonts w:ascii="Arial"/>
                <w:sz w:val="22"/>
              </w:rPr>
              <w:t>potenciar</w:t>
            </w:r>
            <w:r>
              <w:rPr>
                <w:rFonts w:ascii="Arial"/>
                <w:spacing w:val="-4"/>
                <w:sz w:val="22"/>
              </w:rPr>
              <w:t> </w:t>
            </w:r>
            <w:r>
              <w:rPr>
                <w:rFonts w:ascii="Arial"/>
                <w:sz w:val="22"/>
              </w:rPr>
              <w:t>el</w:t>
            </w:r>
            <w:r>
              <w:rPr>
                <w:rFonts w:ascii="Arial"/>
                <w:spacing w:val="-6"/>
                <w:sz w:val="22"/>
              </w:rPr>
              <w:t> </w:t>
            </w:r>
            <w:r>
              <w:rPr>
                <w:rFonts w:ascii="Arial"/>
                <w:spacing w:val="-2"/>
                <w:sz w:val="22"/>
              </w:rPr>
              <w:t>negocio.</w:t>
            </w:r>
          </w:p>
        </w:tc>
        <w:tc>
          <w:tcPr>
            <w:tcW w:w="1985" w:type="dxa"/>
            <w:shd w:val="clear" w:color="auto" w:fill="C0C0C0"/>
          </w:tcPr>
          <w:p>
            <w:pPr>
              <w:pStyle w:val="TableParagraph"/>
              <w:spacing w:line="231" w:lineRule="exact"/>
              <w:ind w:left="110" w:right="90"/>
              <w:jc w:val="center"/>
              <w:rPr>
                <w:rFonts w:ascii="Arial"/>
                <w:sz w:val="22"/>
              </w:rPr>
            </w:pPr>
            <w:r>
              <w:rPr>
                <w:rFonts w:ascii="Arial"/>
                <w:spacing w:val="-2"/>
                <w:sz w:val="22"/>
              </w:rPr>
              <w:t>2.23%</w:t>
            </w:r>
          </w:p>
        </w:tc>
      </w:tr>
      <w:tr>
        <w:trPr>
          <w:trHeight w:val="507" w:hRule="atLeast"/>
        </w:trPr>
        <w:tc>
          <w:tcPr>
            <w:tcW w:w="7479" w:type="dxa"/>
          </w:tcPr>
          <w:p>
            <w:pPr>
              <w:pStyle w:val="TableParagraph"/>
              <w:spacing w:line="252" w:lineRule="exact"/>
              <w:ind w:left="1775" w:hanging="1620"/>
              <w:rPr>
                <w:rFonts w:ascii="Arial" w:hAnsi="Arial"/>
                <w:sz w:val="22"/>
              </w:rPr>
            </w:pPr>
            <w:r>
              <w:rPr>
                <w:rFonts w:ascii="Arial" w:hAnsi="Arial"/>
                <w:sz w:val="22"/>
              </w:rPr>
              <w:t>5.9.2</w:t>
            </w:r>
            <w:r>
              <w:rPr>
                <w:rFonts w:ascii="Arial" w:hAnsi="Arial"/>
                <w:spacing w:val="-7"/>
                <w:sz w:val="22"/>
              </w:rPr>
              <w:t> </w:t>
            </w:r>
            <w:r>
              <w:rPr>
                <w:rFonts w:ascii="Arial" w:hAnsi="Arial"/>
                <w:sz w:val="22"/>
              </w:rPr>
              <w:t>Normativa</w:t>
            </w:r>
            <w:r>
              <w:rPr>
                <w:rFonts w:ascii="Arial" w:hAnsi="Arial"/>
                <w:spacing w:val="-5"/>
                <w:sz w:val="22"/>
              </w:rPr>
              <w:t> </w:t>
            </w:r>
            <w:r>
              <w:rPr>
                <w:rFonts w:ascii="Arial" w:hAnsi="Arial"/>
                <w:sz w:val="22"/>
              </w:rPr>
              <w:t>institucional</w:t>
            </w:r>
            <w:r>
              <w:rPr>
                <w:rFonts w:ascii="Arial" w:hAnsi="Arial"/>
                <w:spacing w:val="-6"/>
                <w:sz w:val="22"/>
              </w:rPr>
              <w:t> </w:t>
            </w:r>
            <w:r>
              <w:rPr>
                <w:rFonts w:ascii="Arial" w:hAnsi="Arial"/>
                <w:sz w:val="22"/>
              </w:rPr>
              <w:t>de</w:t>
            </w:r>
            <w:r>
              <w:rPr>
                <w:rFonts w:ascii="Arial" w:hAnsi="Arial"/>
                <w:spacing w:val="-5"/>
                <w:sz w:val="22"/>
              </w:rPr>
              <w:t> </w:t>
            </w:r>
            <w:r>
              <w:rPr>
                <w:rFonts w:ascii="Arial" w:hAnsi="Arial"/>
                <w:sz w:val="22"/>
              </w:rPr>
              <w:t>donaciones</w:t>
            </w:r>
            <w:r>
              <w:rPr>
                <w:rFonts w:ascii="Arial" w:hAnsi="Arial"/>
                <w:spacing w:val="-5"/>
                <w:sz w:val="22"/>
              </w:rPr>
              <w:t> </w:t>
            </w:r>
            <w:r>
              <w:rPr>
                <w:rFonts w:ascii="Arial" w:hAnsi="Arial"/>
                <w:sz w:val="22"/>
              </w:rPr>
              <w:t>ajustada,</w:t>
            </w:r>
            <w:r>
              <w:rPr>
                <w:rFonts w:ascii="Arial" w:hAnsi="Arial"/>
                <w:spacing w:val="-4"/>
                <w:sz w:val="22"/>
              </w:rPr>
              <w:t> </w:t>
            </w:r>
            <w:r>
              <w:rPr>
                <w:rFonts w:ascii="Arial" w:hAnsi="Arial"/>
                <w:sz w:val="22"/>
              </w:rPr>
              <w:t>para</w:t>
            </w:r>
            <w:r>
              <w:rPr>
                <w:rFonts w:ascii="Arial" w:hAnsi="Arial"/>
                <w:spacing w:val="-5"/>
                <w:sz w:val="22"/>
              </w:rPr>
              <w:t> </w:t>
            </w:r>
            <w:r>
              <w:rPr>
                <w:rFonts w:ascii="Arial" w:hAnsi="Arial"/>
                <w:sz w:val="22"/>
              </w:rPr>
              <w:t>incrementar</w:t>
            </w:r>
            <w:r>
              <w:rPr>
                <w:rFonts w:ascii="Arial" w:hAnsi="Arial"/>
                <w:spacing w:val="-6"/>
                <w:sz w:val="22"/>
              </w:rPr>
              <w:t> </w:t>
            </w:r>
            <w:r>
              <w:rPr>
                <w:rFonts w:ascii="Arial" w:hAnsi="Arial"/>
                <w:sz w:val="22"/>
              </w:rPr>
              <w:t>la captación y donación de bienes y dinero</w:t>
            </w:r>
          </w:p>
        </w:tc>
        <w:tc>
          <w:tcPr>
            <w:tcW w:w="1985" w:type="dxa"/>
          </w:tcPr>
          <w:p>
            <w:pPr>
              <w:pStyle w:val="TableParagraph"/>
              <w:spacing w:before="127"/>
              <w:ind w:left="22"/>
              <w:jc w:val="center"/>
              <w:rPr>
                <w:rFonts w:ascii="Arial"/>
                <w:sz w:val="22"/>
              </w:rPr>
            </w:pPr>
            <w:r>
              <w:rPr>
                <w:rFonts w:ascii="Arial"/>
                <w:spacing w:val="-5"/>
                <w:sz w:val="22"/>
              </w:rPr>
              <w:t>15%</w:t>
            </w:r>
          </w:p>
        </w:tc>
      </w:tr>
    </w:tbl>
    <w:p>
      <w:pPr>
        <w:pStyle w:val="BodyText"/>
        <w:spacing w:before="102"/>
        <w:rPr>
          <w:b/>
          <w:sz w:val="18"/>
        </w:rPr>
      </w:pPr>
    </w:p>
    <w:p>
      <w:pPr>
        <w:spacing w:before="0"/>
        <w:ind w:left="218" w:right="437" w:firstLine="0"/>
        <w:jc w:val="center"/>
        <w:rPr>
          <w:sz w:val="18"/>
        </w:rPr>
      </w:pPr>
      <w:r>
        <w:rPr>
          <w:sz w:val="18"/>
        </w:rPr>
        <w:t>Fuente:</w:t>
      </w:r>
      <w:r>
        <w:rPr>
          <w:spacing w:val="-6"/>
          <w:sz w:val="18"/>
        </w:rPr>
        <w:t> </w:t>
      </w:r>
      <w:r>
        <w:rPr>
          <w:sz w:val="18"/>
        </w:rPr>
        <w:t>herramienta</w:t>
      </w:r>
      <w:r>
        <w:rPr>
          <w:spacing w:val="-4"/>
          <w:sz w:val="18"/>
        </w:rPr>
        <w:t> </w:t>
      </w:r>
      <w:r>
        <w:rPr>
          <w:sz w:val="18"/>
        </w:rPr>
        <w:t>DELPHOS.</w:t>
      </w:r>
      <w:r>
        <w:rPr>
          <w:spacing w:val="-4"/>
          <w:sz w:val="18"/>
        </w:rPr>
        <w:t> </w:t>
      </w:r>
      <w:r>
        <w:rPr>
          <w:sz w:val="18"/>
        </w:rPr>
        <w:t>POI-POGE</w:t>
      </w:r>
      <w:r>
        <w:rPr>
          <w:spacing w:val="-4"/>
          <w:sz w:val="18"/>
        </w:rPr>
        <w:t> </w:t>
      </w:r>
      <w:r>
        <w:rPr>
          <w:spacing w:val="-2"/>
          <w:sz w:val="18"/>
        </w:rPr>
        <w:t>2024.</w:t>
      </w:r>
    </w:p>
    <w:p>
      <w:pPr>
        <w:pStyle w:val="BodyText"/>
        <w:rPr>
          <w:sz w:val="18"/>
        </w:rPr>
      </w:pPr>
    </w:p>
    <w:p>
      <w:pPr>
        <w:pStyle w:val="BodyText"/>
        <w:spacing w:before="36"/>
        <w:rPr>
          <w:sz w:val="18"/>
        </w:rPr>
      </w:pPr>
    </w:p>
    <w:p>
      <w:pPr>
        <w:pStyle w:val="BodyText"/>
        <w:ind w:left="165" w:right="384"/>
        <w:jc w:val="both"/>
      </w:pPr>
      <w:r>
        <w:rPr/>
        <w:t>La limitación registrada para los resultados: 5.3.2, 5.42 y 5.92, presentan medidas de administración que podrían supera el rezago y logar el porcentaje anual programado. No obstante, se considera importante destacar las actividades programadas para lograr el resultado #5.5.2 E-commerce optimizado para potenciar el negocio#, el cual en POI-POGE 2024 se lograba por dos actividades, que seguidamente se exponen:</w:t>
      </w:r>
    </w:p>
    <w:p>
      <w:pPr>
        <w:pStyle w:val="BodyText"/>
        <w:spacing w:before="1"/>
      </w:pPr>
    </w:p>
    <w:p>
      <w:pPr>
        <w:pStyle w:val="ListParagraph"/>
        <w:numPr>
          <w:ilvl w:val="1"/>
          <w:numId w:val="11"/>
        </w:numPr>
        <w:tabs>
          <w:tab w:pos="885" w:val="left" w:leader="none"/>
        </w:tabs>
        <w:spacing w:line="240" w:lineRule="auto" w:before="0" w:after="0"/>
        <w:ind w:left="885" w:right="385" w:hanging="360"/>
        <w:jc w:val="both"/>
        <w:rPr>
          <w:sz w:val="24"/>
        </w:rPr>
      </w:pPr>
      <w:r>
        <w:rPr>
          <w:sz w:val="24"/>
        </w:rPr>
        <w:t>” PEC 3.9.1: Evaluar la identidad de los clientes con la página electrónica de Duty Free IMAS y la marca como un Programa Social (Partida 1.08.08) (AEC)”, con el indicados: “cantidad de visitas anuales a la página electrónica de Duty Free IMAS”, se había programado para el I semestre del 2024, 60.000 visitas y solo se logros 5.081, la justificación de por qué no se alcanzó la meta fue: “Se actualizó la página web y se encuentra en proceso de evaluación por parte de la administración. Se está valorando ajustar la meta, ya que no se adapta a la realidad actual, por lo que se pudo dar un error en la proyección de esta, se está trabajando para llevar a cabo una nueva contratación administrativa que sea más robusta y así ampliar los canales.” Además, se programó como medida de administración: “Se está valorando ajustar la meta, ya que no se adapta a la realidad actual, por lo que se pudo dar un error en la proyección de esta.”</w:t>
      </w:r>
    </w:p>
    <w:p>
      <w:pPr>
        <w:pStyle w:val="BodyText"/>
        <w:spacing w:before="275"/>
        <w:ind w:left="165" w:right="387"/>
        <w:jc w:val="both"/>
      </w:pPr>
      <w:r>
        <w:rPr/>
        <w:t>Cómo se observa en la justificación el administrador de Empresas Comerciales, aunque no se ha terminado</w:t>
      </w:r>
      <w:r>
        <w:rPr>
          <w:spacing w:val="-3"/>
        </w:rPr>
        <w:t> </w:t>
      </w:r>
      <w:r>
        <w:rPr/>
        <w:t>la</w:t>
      </w:r>
      <w:r>
        <w:rPr>
          <w:spacing w:val="-1"/>
        </w:rPr>
        <w:t> </w:t>
      </w:r>
      <w:r>
        <w:rPr/>
        <w:t>evaluación,</w:t>
      </w:r>
      <w:r>
        <w:rPr>
          <w:spacing w:val="-1"/>
        </w:rPr>
        <w:t> </w:t>
      </w:r>
      <w:r>
        <w:rPr/>
        <w:t>con</w:t>
      </w:r>
      <w:r>
        <w:rPr>
          <w:spacing w:val="-1"/>
        </w:rPr>
        <w:t> </w:t>
      </w:r>
      <w:r>
        <w:rPr/>
        <w:t>resultados</w:t>
      </w:r>
      <w:r>
        <w:rPr>
          <w:spacing w:val="-4"/>
        </w:rPr>
        <w:t> </w:t>
      </w:r>
      <w:r>
        <w:rPr/>
        <w:t>concretos, y</w:t>
      </w:r>
      <w:r>
        <w:rPr>
          <w:spacing w:val="-2"/>
        </w:rPr>
        <w:t> </w:t>
      </w:r>
      <w:r>
        <w:rPr/>
        <w:t>se estableció</w:t>
      </w:r>
      <w:r>
        <w:rPr>
          <w:spacing w:val="-1"/>
        </w:rPr>
        <w:t> </w:t>
      </w:r>
      <w:r>
        <w:rPr/>
        <w:t>como</w:t>
      </w:r>
      <w:r>
        <w:rPr>
          <w:spacing w:val="-1"/>
        </w:rPr>
        <w:t> </w:t>
      </w:r>
      <w:r>
        <w:rPr/>
        <w:t>medida</w:t>
      </w:r>
      <w:r>
        <w:rPr>
          <w:spacing w:val="-1"/>
        </w:rPr>
        <w:t> </w:t>
      </w:r>
      <w:r>
        <w:rPr/>
        <w:t>de</w:t>
      </w:r>
      <w:r>
        <w:rPr>
          <w:spacing w:val="-1"/>
        </w:rPr>
        <w:t> </w:t>
      </w:r>
      <w:r>
        <w:rPr/>
        <w:t>administración el ajuste.</w:t>
      </w:r>
    </w:p>
    <w:p>
      <w:pPr>
        <w:pStyle w:val="BodyText"/>
        <w:spacing w:before="1"/>
      </w:pPr>
    </w:p>
    <w:p>
      <w:pPr>
        <w:pStyle w:val="BodyText"/>
        <w:ind w:left="165" w:right="384"/>
        <w:jc w:val="both"/>
      </w:pPr>
      <w:r>
        <w:rPr/>
        <w:t>Para ello se considera necesario hacer mención de que según lo establecido en el Capítulo 9 del PEI denominado “Sistema de Seguimiento y Evaluación” del PEI 2023-2028, se define dos procesos de evaluación: evaluación de proceso y evaluación final.</w:t>
      </w:r>
    </w:p>
    <w:p>
      <w:pPr>
        <w:pStyle w:val="BodyText"/>
      </w:pPr>
    </w:p>
    <w:p>
      <w:pPr>
        <w:pStyle w:val="BodyText"/>
        <w:ind w:left="165" w:right="388"/>
        <w:jc w:val="both"/>
      </w:pPr>
      <w:r>
        <w:rPr/>
        <w:t>Con respecto a las evaluaciones de procesos, se pretende que con los resultados que arrojen los ejercicios de seguimiento semestral del PEI, se revise y si fuera del caso, se elabore cada 18 meses</w:t>
      </w:r>
      <w:r>
        <w:rPr>
          <w:spacing w:val="32"/>
        </w:rPr>
        <w:t> </w:t>
      </w:r>
      <w:r>
        <w:rPr/>
        <w:t>una</w:t>
      </w:r>
      <w:r>
        <w:rPr>
          <w:spacing w:val="33"/>
        </w:rPr>
        <w:t> </w:t>
      </w:r>
      <w:r>
        <w:rPr/>
        <w:t>propuesta</w:t>
      </w:r>
      <w:r>
        <w:rPr>
          <w:spacing w:val="33"/>
        </w:rPr>
        <w:t> </w:t>
      </w:r>
      <w:r>
        <w:rPr/>
        <w:t>de</w:t>
      </w:r>
      <w:r>
        <w:rPr>
          <w:spacing w:val="33"/>
        </w:rPr>
        <w:t> </w:t>
      </w:r>
      <w:r>
        <w:rPr/>
        <w:t>ajuste</w:t>
      </w:r>
      <w:r>
        <w:rPr>
          <w:spacing w:val="33"/>
        </w:rPr>
        <w:t> </w:t>
      </w:r>
      <w:r>
        <w:rPr/>
        <w:t>de</w:t>
      </w:r>
      <w:r>
        <w:rPr>
          <w:spacing w:val="33"/>
        </w:rPr>
        <w:t> </w:t>
      </w:r>
      <w:r>
        <w:rPr/>
        <w:t>la</w:t>
      </w:r>
      <w:r>
        <w:rPr>
          <w:spacing w:val="32"/>
        </w:rPr>
        <w:t> </w:t>
      </w:r>
      <w:r>
        <w:rPr/>
        <w:t>estrategia</w:t>
      </w:r>
      <w:r>
        <w:rPr>
          <w:spacing w:val="32"/>
        </w:rPr>
        <w:t> </w:t>
      </w:r>
      <w:r>
        <w:rPr/>
        <w:t>de</w:t>
      </w:r>
      <w:r>
        <w:rPr>
          <w:spacing w:val="33"/>
        </w:rPr>
        <w:t> </w:t>
      </w:r>
      <w:r>
        <w:rPr/>
        <w:t>implementación</w:t>
      </w:r>
      <w:r>
        <w:rPr>
          <w:spacing w:val="32"/>
        </w:rPr>
        <w:t> </w:t>
      </w:r>
      <w:r>
        <w:rPr/>
        <w:t>del</w:t>
      </w:r>
      <w:r>
        <w:rPr>
          <w:spacing w:val="31"/>
        </w:rPr>
        <w:t> </w:t>
      </w:r>
      <w:r>
        <w:rPr/>
        <w:t>PEI</w:t>
      </w:r>
      <w:r>
        <w:rPr>
          <w:spacing w:val="32"/>
        </w:rPr>
        <w:t> </w:t>
      </w:r>
      <w:r>
        <w:rPr/>
        <w:t>y</w:t>
      </w:r>
      <w:r>
        <w:rPr>
          <w:spacing w:val="32"/>
        </w:rPr>
        <w:t> </w:t>
      </w:r>
      <w:r>
        <w:rPr/>
        <w:t>de</w:t>
      </w:r>
      <w:r>
        <w:rPr>
          <w:spacing w:val="33"/>
        </w:rPr>
        <w:t> </w:t>
      </w:r>
      <w:r>
        <w:rPr/>
        <w:t>los</w:t>
      </w:r>
      <w:r>
        <w:rPr>
          <w:spacing w:val="32"/>
        </w:rPr>
        <w:t> </w:t>
      </w:r>
      <w:r>
        <w:rPr/>
        <w:t>planes</w:t>
      </w:r>
      <w:r>
        <w:rPr>
          <w:spacing w:val="32"/>
        </w:rPr>
        <w:t> </w:t>
      </w:r>
      <w:r>
        <w:rPr/>
        <w:t>de</w:t>
      </w:r>
    </w:p>
    <w:p>
      <w:pPr>
        <w:pStyle w:val="BodyText"/>
        <w:spacing w:after="0"/>
        <w:jc w:val="both"/>
        <w:sectPr>
          <w:headerReference w:type="default" r:id="rId77"/>
          <w:footerReference w:type="default" r:id="rId78"/>
          <w:pgSz w:w="13370" w:h="17280"/>
          <w:pgMar w:header="0" w:footer="969" w:top="340" w:bottom="1160" w:left="1275" w:right="992"/>
        </w:sectPr>
      </w:pPr>
    </w:p>
    <w:p>
      <w:pPr>
        <w:pStyle w:val="BodyText"/>
        <w:spacing w:before="78"/>
        <w:ind w:left="165" w:right="393"/>
        <w:jc w:val="both"/>
      </w:pPr>
      <w:r>
        <w:rPr/>
        <w:t>acción de los ejes estratégicos, lo cual se presentará al Consejo Directivo para su análisis y aprobación, ya que es la instancia que debe aprobar este tipo de ajustes a dicho instrumento </w:t>
      </w:r>
      <w:r>
        <w:rPr>
          <w:spacing w:val="-2"/>
        </w:rPr>
        <w:t>programático.</w:t>
      </w:r>
    </w:p>
    <w:p>
      <w:pPr>
        <w:pStyle w:val="BodyText"/>
      </w:pPr>
    </w:p>
    <w:p>
      <w:pPr>
        <w:pStyle w:val="BodyText"/>
        <w:ind w:left="165" w:right="385"/>
        <w:jc w:val="both"/>
      </w:pPr>
      <w:r>
        <w:rPr/>
        <w:t>Lo anterior se formalizó, mediante la directriz de la Gerencia General IMAS-GG-1943-2023 “Sobre el seguimiento y evaluación de actividades del Plan Estratégico Institucional 2023-2028”, específicamente en el:</w:t>
      </w:r>
    </w:p>
    <w:p>
      <w:pPr>
        <w:pStyle w:val="BodyText"/>
      </w:pPr>
    </w:p>
    <w:p>
      <w:pPr>
        <w:pStyle w:val="ListParagraph"/>
        <w:numPr>
          <w:ilvl w:val="0"/>
          <w:numId w:val="13"/>
        </w:numPr>
        <w:tabs>
          <w:tab w:pos="884" w:val="left" w:leader="none"/>
        </w:tabs>
        <w:spacing w:line="287" w:lineRule="exact" w:before="0" w:after="0"/>
        <w:ind w:left="884" w:right="0" w:hanging="359"/>
        <w:jc w:val="left"/>
        <w:rPr>
          <w:sz w:val="24"/>
        </w:rPr>
      </w:pPr>
      <w:r>
        <w:rPr>
          <w:sz w:val="24"/>
          <w:u w:val="single"/>
        </w:rPr>
        <w:t>Ítem</w:t>
      </w:r>
      <w:r>
        <w:rPr>
          <w:spacing w:val="-1"/>
          <w:sz w:val="24"/>
          <w:u w:val="single"/>
        </w:rPr>
        <w:t> </w:t>
      </w:r>
      <w:r>
        <w:rPr>
          <w:spacing w:val="-2"/>
          <w:sz w:val="24"/>
          <w:u w:val="single"/>
        </w:rPr>
        <w:t>séptimo:</w:t>
      </w:r>
      <w:r>
        <w:rPr>
          <w:spacing w:val="40"/>
          <w:sz w:val="24"/>
          <w:u w:val="single"/>
        </w:rPr>
        <w:t> </w:t>
      </w:r>
    </w:p>
    <w:p>
      <w:pPr>
        <w:pStyle w:val="BodyText"/>
        <w:ind w:left="165"/>
      </w:pPr>
      <w:r>
        <w:rPr/>
        <w:t>“La evaluación del PEI se trabajará con evaluaciones de proceso y una final según lo siguiente: Evaluación</w:t>
      </w:r>
      <w:r>
        <w:rPr>
          <w:spacing w:val="40"/>
        </w:rPr>
        <w:t> </w:t>
      </w:r>
      <w:r>
        <w:rPr/>
        <w:t>de</w:t>
      </w:r>
      <w:r>
        <w:rPr>
          <w:spacing w:val="40"/>
        </w:rPr>
        <w:t> </w:t>
      </w:r>
      <w:r>
        <w:rPr/>
        <w:t>proceso:</w:t>
      </w:r>
      <w:r>
        <w:rPr>
          <w:spacing w:val="68"/>
        </w:rPr>
        <w:t> </w:t>
      </w:r>
      <w:r>
        <w:rPr/>
        <w:t>Esta</w:t>
      </w:r>
      <w:r>
        <w:rPr>
          <w:spacing w:val="40"/>
        </w:rPr>
        <w:t> </w:t>
      </w:r>
      <w:r>
        <w:rPr/>
        <w:t>evaluación</w:t>
      </w:r>
      <w:r>
        <w:rPr>
          <w:spacing w:val="40"/>
        </w:rPr>
        <w:t> </w:t>
      </w:r>
      <w:r>
        <w:rPr/>
        <w:t>se</w:t>
      </w:r>
      <w:r>
        <w:rPr>
          <w:spacing w:val="40"/>
        </w:rPr>
        <w:t> </w:t>
      </w:r>
      <w:r>
        <w:rPr/>
        <w:t>realizará</w:t>
      </w:r>
      <w:r>
        <w:rPr>
          <w:spacing w:val="40"/>
        </w:rPr>
        <w:t> </w:t>
      </w:r>
      <w:r>
        <w:rPr/>
        <w:t>cada</w:t>
      </w:r>
      <w:r>
        <w:rPr>
          <w:spacing w:val="40"/>
        </w:rPr>
        <w:t> </w:t>
      </w:r>
      <w:r>
        <w:rPr/>
        <w:t>18</w:t>
      </w:r>
      <w:r>
        <w:rPr>
          <w:spacing w:val="40"/>
        </w:rPr>
        <w:t> </w:t>
      </w:r>
      <w:r>
        <w:rPr/>
        <w:t>meses,</w:t>
      </w:r>
      <w:r>
        <w:rPr>
          <w:spacing w:val="40"/>
        </w:rPr>
        <w:t> </w:t>
      </w:r>
      <w:r>
        <w:rPr/>
        <w:t>durante</w:t>
      </w:r>
      <w:r>
        <w:rPr>
          <w:spacing w:val="40"/>
        </w:rPr>
        <w:t> </w:t>
      </w:r>
      <w:r>
        <w:rPr/>
        <w:t>el</w:t>
      </w:r>
      <w:r>
        <w:rPr>
          <w:spacing w:val="40"/>
        </w:rPr>
        <w:t> </w:t>
      </w:r>
      <w:r>
        <w:rPr/>
        <w:t>periodo</w:t>
      </w:r>
      <w:r>
        <w:rPr>
          <w:spacing w:val="40"/>
        </w:rPr>
        <w:t> </w:t>
      </w:r>
      <w:r>
        <w:rPr/>
        <w:t>de</w:t>
      </w:r>
      <w:r>
        <w:rPr>
          <w:spacing w:val="80"/>
        </w:rPr>
        <w:t> </w:t>
      </w:r>
      <w:r>
        <w:rPr/>
        <w:t>vigencia</w:t>
      </w:r>
      <w:r>
        <w:rPr>
          <w:spacing w:val="31"/>
        </w:rPr>
        <w:t> </w:t>
      </w:r>
      <w:r>
        <w:rPr/>
        <w:t>del</w:t>
      </w:r>
      <w:r>
        <w:rPr>
          <w:spacing w:val="33"/>
        </w:rPr>
        <w:t> </w:t>
      </w:r>
      <w:r>
        <w:rPr/>
        <w:t>PEI.</w:t>
      </w:r>
      <w:r>
        <w:rPr>
          <w:spacing w:val="32"/>
        </w:rPr>
        <w:t> </w:t>
      </w:r>
      <w:r>
        <w:rPr/>
        <w:t>Se</w:t>
      </w:r>
      <w:r>
        <w:rPr>
          <w:spacing w:val="32"/>
        </w:rPr>
        <w:t> </w:t>
      </w:r>
      <w:r>
        <w:rPr/>
        <w:t>revisarán</w:t>
      </w:r>
      <w:r>
        <w:rPr>
          <w:spacing w:val="32"/>
        </w:rPr>
        <w:t> </w:t>
      </w:r>
      <w:r>
        <w:rPr/>
        <w:t>y</w:t>
      </w:r>
      <w:r>
        <w:rPr>
          <w:spacing w:val="31"/>
        </w:rPr>
        <w:t> </w:t>
      </w:r>
      <w:r>
        <w:rPr/>
        <w:t>ajustarán</w:t>
      </w:r>
      <w:r>
        <w:rPr>
          <w:spacing w:val="32"/>
        </w:rPr>
        <w:t> </w:t>
      </w:r>
      <w:r>
        <w:rPr/>
        <w:t>de</w:t>
      </w:r>
      <w:r>
        <w:rPr>
          <w:spacing w:val="34"/>
        </w:rPr>
        <w:t> </w:t>
      </w:r>
      <w:r>
        <w:rPr/>
        <w:t>ser</w:t>
      </w:r>
      <w:r>
        <w:rPr>
          <w:spacing w:val="31"/>
        </w:rPr>
        <w:t> </w:t>
      </w:r>
      <w:r>
        <w:rPr/>
        <w:t>necesario,</w:t>
      </w:r>
      <w:r>
        <w:rPr>
          <w:spacing w:val="31"/>
        </w:rPr>
        <w:t> </w:t>
      </w:r>
      <w:r>
        <w:rPr/>
        <w:t>las</w:t>
      </w:r>
      <w:r>
        <w:rPr>
          <w:spacing w:val="31"/>
        </w:rPr>
        <w:t> </w:t>
      </w:r>
      <w:r>
        <w:rPr/>
        <w:t>estrategias</w:t>
      </w:r>
      <w:r>
        <w:rPr>
          <w:spacing w:val="31"/>
        </w:rPr>
        <w:t> </w:t>
      </w:r>
      <w:r>
        <w:rPr/>
        <w:t>y</w:t>
      </w:r>
      <w:r>
        <w:rPr>
          <w:spacing w:val="31"/>
        </w:rPr>
        <w:t> </w:t>
      </w:r>
      <w:r>
        <w:rPr/>
        <w:t>planes</w:t>
      </w:r>
      <w:r>
        <w:rPr>
          <w:spacing w:val="31"/>
        </w:rPr>
        <w:t> </w:t>
      </w:r>
      <w:r>
        <w:rPr/>
        <w:t>de</w:t>
      </w:r>
      <w:r>
        <w:rPr>
          <w:spacing w:val="32"/>
        </w:rPr>
        <w:t> </w:t>
      </w:r>
      <w:r>
        <w:rPr/>
        <w:t>acción según los avances con respecto a los logros programados. …”</w:t>
      </w:r>
    </w:p>
    <w:p>
      <w:pPr>
        <w:pStyle w:val="ListParagraph"/>
        <w:numPr>
          <w:ilvl w:val="0"/>
          <w:numId w:val="13"/>
        </w:numPr>
        <w:tabs>
          <w:tab w:pos="884" w:val="left" w:leader="none"/>
        </w:tabs>
        <w:spacing w:line="287" w:lineRule="exact" w:before="266" w:after="0"/>
        <w:ind w:left="884" w:right="0" w:hanging="359"/>
        <w:jc w:val="both"/>
        <w:rPr>
          <w:sz w:val="24"/>
        </w:rPr>
      </w:pPr>
      <w:r>
        <w:rPr>
          <w:sz w:val="24"/>
          <w:u w:val="single"/>
        </w:rPr>
        <w:t>ítem</w:t>
      </w:r>
      <w:r>
        <w:rPr>
          <w:spacing w:val="-3"/>
          <w:sz w:val="24"/>
          <w:u w:val="single"/>
        </w:rPr>
        <w:t> </w:t>
      </w:r>
      <w:r>
        <w:rPr>
          <w:spacing w:val="-2"/>
          <w:sz w:val="24"/>
          <w:u w:val="single"/>
        </w:rPr>
        <w:t>octavo</w:t>
      </w:r>
      <w:r>
        <w:rPr>
          <w:spacing w:val="-2"/>
          <w:sz w:val="24"/>
          <w:u w:val="none"/>
        </w:rPr>
        <w:t>:</w:t>
      </w:r>
    </w:p>
    <w:p>
      <w:pPr>
        <w:pStyle w:val="BodyText"/>
        <w:ind w:left="165" w:right="395"/>
        <w:jc w:val="both"/>
      </w:pPr>
      <w:r>
        <w:rPr/>
        <w:t>“Cualquier modificación que se deba de realizar al PEI, debe ser aprobada por el Consejo</w:t>
      </w:r>
      <w:r>
        <w:rPr>
          <w:spacing w:val="40"/>
        </w:rPr>
        <w:t> </w:t>
      </w:r>
      <w:r>
        <w:rPr/>
        <w:t>Directivo como órgano responsable de la aprobación de la política institucional. Lo anterior así acordado por el Consejo Directivo mediante Acuerdo N° 2031-09-2023.”</w:t>
      </w:r>
    </w:p>
    <w:p>
      <w:pPr>
        <w:pStyle w:val="BodyText"/>
        <w:ind w:left="165" w:right="385"/>
        <w:jc w:val="both"/>
      </w:pPr>
      <w:r>
        <w:rPr/>
        <w:t>Por lo anterior y en apego al proceso de seguimiento y evaluación planteado del PEI 2023-2028, sería posterior a la primera evaluación de proceso que se podrán realizar ajustes en la programación de los planes de acción.</w:t>
      </w:r>
    </w:p>
    <w:p>
      <w:pPr>
        <w:pStyle w:val="ListParagraph"/>
        <w:numPr>
          <w:ilvl w:val="1"/>
          <w:numId w:val="11"/>
        </w:numPr>
        <w:tabs>
          <w:tab w:pos="885" w:val="left" w:leader="none"/>
        </w:tabs>
        <w:spacing w:line="240" w:lineRule="auto" w:before="264" w:after="0"/>
        <w:ind w:left="885" w:right="384" w:hanging="360"/>
        <w:jc w:val="both"/>
        <w:rPr>
          <w:sz w:val="24"/>
        </w:rPr>
      </w:pPr>
      <w:r>
        <w:rPr>
          <w:sz w:val="24"/>
        </w:rPr>
        <w:t>Para la actividad: “PEC 3.9.2: Estrategias que permitan optimizar la herramienta y potenciar el</w:t>
      </w:r>
      <w:r>
        <w:rPr>
          <w:spacing w:val="-2"/>
          <w:sz w:val="24"/>
        </w:rPr>
        <w:t> </w:t>
      </w:r>
      <w:r>
        <w:rPr>
          <w:sz w:val="24"/>
        </w:rPr>
        <w:t>negocio”,</w:t>
      </w:r>
      <w:r>
        <w:rPr>
          <w:spacing w:val="-2"/>
          <w:sz w:val="24"/>
        </w:rPr>
        <w:t> </w:t>
      </w:r>
      <w:r>
        <w:rPr>
          <w:sz w:val="24"/>
        </w:rPr>
        <w:t>cuyo</w:t>
      </w:r>
      <w:r>
        <w:rPr>
          <w:spacing w:val="-2"/>
          <w:sz w:val="24"/>
        </w:rPr>
        <w:t> </w:t>
      </w:r>
      <w:r>
        <w:rPr>
          <w:sz w:val="24"/>
        </w:rPr>
        <w:t>indicador</w:t>
      </w:r>
      <w:r>
        <w:rPr>
          <w:spacing w:val="-2"/>
          <w:sz w:val="24"/>
        </w:rPr>
        <w:t> </w:t>
      </w:r>
      <w:r>
        <w:rPr>
          <w:sz w:val="24"/>
        </w:rPr>
        <w:t>es</w:t>
      </w:r>
      <w:r>
        <w:rPr>
          <w:spacing w:val="-2"/>
          <w:sz w:val="24"/>
        </w:rPr>
        <w:t> </w:t>
      </w:r>
      <w:r>
        <w:rPr>
          <w:sz w:val="24"/>
        </w:rPr>
        <w:t>“Monto</w:t>
      </w:r>
      <w:r>
        <w:rPr>
          <w:spacing w:val="-3"/>
          <w:sz w:val="24"/>
        </w:rPr>
        <w:t> </w:t>
      </w:r>
      <w:r>
        <w:rPr>
          <w:sz w:val="24"/>
        </w:rPr>
        <w:t>estimado</w:t>
      </w:r>
      <w:r>
        <w:rPr>
          <w:spacing w:val="-2"/>
          <w:sz w:val="24"/>
        </w:rPr>
        <w:t> </w:t>
      </w:r>
      <w:r>
        <w:rPr>
          <w:sz w:val="24"/>
        </w:rPr>
        <w:t>total</w:t>
      </w:r>
      <w:r>
        <w:rPr>
          <w:spacing w:val="-2"/>
          <w:sz w:val="24"/>
        </w:rPr>
        <w:t> </w:t>
      </w:r>
      <w:r>
        <w:rPr>
          <w:sz w:val="24"/>
        </w:rPr>
        <w:t>de</w:t>
      </w:r>
      <w:r>
        <w:rPr>
          <w:spacing w:val="-2"/>
          <w:sz w:val="24"/>
        </w:rPr>
        <w:t> </w:t>
      </w:r>
      <w:r>
        <w:rPr>
          <w:sz w:val="24"/>
        </w:rPr>
        <w:t>ventas</w:t>
      </w:r>
      <w:r>
        <w:rPr>
          <w:spacing w:val="-4"/>
          <w:sz w:val="24"/>
        </w:rPr>
        <w:t> </w:t>
      </w:r>
      <w:r>
        <w:rPr>
          <w:sz w:val="24"/>
        </w:rPr>
        <w:t>en</w:t>
      </w:r>
      <w:r>
        <w:rPr>
          <w:spacing w:val="-4"/>
          <w:sz w:val="24"/>
        </w:rPr>
        <w:t> </w:t>
      </w:r>
      <w:r>
        <w:rPr>
          <w:sz w:val="24"/>
        </w:rPr>
        <w:t>USD</w:t>
      </w:r>
      <w:r>
        <w:rPr>
          <w:spacing w:val="-2"/>
          <w:sz w:val="24"/>
        </w:rPr>
        <w:t> </w:t>
      </w:r>
      <w:r>
        <w:rPr>
          <w:sz w:val="24"/>
        </w:rPr>
        <w:t>mediante</w:t>
      </w:r>
      <w:r>
        <w:rPr>
          <w:spacing w:val="-2"/>
          <w:sz w:val="24"/>
        </w:rPr>
        <w:t> </w:t>
      </w:r>
      <w:r>
        <w:rPr>
          <w:sz w:val="24"/>
        </w:rPr>
        <w:t>e-comerse “, cuya programación era 20.000 dólares en el II trimestre y solo se alcanzó un monto de 90 </w:t>
      </w:r>
      <w:r>
        <w:rPr>
          <w:spacing w:val="-2"/>
          <w:sz w:val="24"/>
        </w:rPr>
        <w:t>dólares.</w:t>
      </w:r>
    </w:p>
    <w:p>
      <w:pPr>
        <w:pStyle w:val="BodyText"/>
        <w:spacing w:before="275"/>
        <w:ind w:left="165" w:right="395"/>
        <w:jc w:val="both"/>
      </w:pPr>
      <w:r>
        <w:rPr/>
        <w:t>La justificación viene a ser en la misma línea que la actividad anterior, ajustar la actividad, ya que menciona: “Se está valorando ajustar la meta, ya que no se adapta a la realidad actual, por lo que se pudo dar un error en la proyección de esta “, cuya medida de administración es igual a la </w:t>
      </w:r>
      <w:r>
        <w:rPr>
          <w:spacing w:val="-2"/>
        </w:rPr>
        <w:t>limitación.</w:t>
      </w:r>
    </w:p>
    <w:p>
      <w:pPr>
        <w:pStyle w:val="BodyText"/>
        <w:spacing w:before="276"/>
        <w:ind w:left="165" w:right="385"/>
        <w:jc w:val="both"/>
      </w:pPr>
      <w:r>
        <w:rPr/>
        <w:t>Estas medidas de administración, pareciera que no están considerando que estas actividades alimentan un producto directamente vinculado a un resultado PEI 2023-2028; si se ajustan, estarían incidiendo</w:t>
      </w:r>
      <w:r>
        <w:rPr>
          <w:spacing w:val="-2"/>
        </w:rPr>
        <w:t> </w:t>
      </w:r>
      <w:r>
        <w:rPr/>
        <w:t>en</w:t>
      </w:r>
      <w:r>
        <w:rPr>
          <w:spacing w:val="-2"/>
        </w:rPr>
        <w:t> </w:t>
      </w:r>
      <w:r>
        <w:rPr/>
        <w:t>el cumplimiento</w:t>
      </w:r>
      <w:r>
        <w:rPr>
          <w:spacing w:val="-1"/>
        </w:rPr>
        <w:t> </w:t>
      </w:r>
      <w:r>
        <w:rPr/>
        <w:t>no solo de</w:t>
      </w:r>
      <w:r>
        <w:rPr>
          <w:spacing w:val="-2"/>
        </w:rPr>
        <w:t> </w:t>
      </w:r>
      <w:r>
        <w:rPr/>
        <w:t>POI-POGE sino</w:t>
      </w:r>
      <w:r>
        <w:rPr>
          <w:spacing w:val="-1"/>
        </w:rPr>
        <w:t> </w:t>
      </w:r>
      <w:r>
        <w:rPr/>
        <w:t>de PEI citado, y éste último solo se puede ajustar tal y como se indicó líneas arriba</w:t>
      </w:r>
    </w:p>
    <w:p>
      <w:pPr>
        <w:pStyle w:val="BodyText"/>
      </w:pPr>
    </w:p>
    <w:p>
      <w:pPr>
        <w:pStyle w:val="Heading5"/>
        <w:numPr>
          <w:ilvl w:val="0"/>
          <w:numId w:val="11"/>
        </w:numPr>
        <w:tabs>
          <w:tab w:pos="377" w:val="left" w:leader="none"/>
        </w:tabs>
        <w:spacing w:line="240" w:lineRule="auto" w:before="0" w:after="0"/>
        <w:ind w:left="377" w:right="0" w:hanging="212"/>
        <w:jc w:val="both"/>
      </w:pPr>
      <w:r>
        <w:rPr/>
        <w:t>Gestión</w:t>
      </w:r>
      <w:r>
        <w:rPr>
          <w:spacing w:val="-3"/>
        </w:rPr>
        <w:t> </w:t>
      </w:r>
      <w:r>
        <w:rPr/>
        <w:t>del</w:t>
      </w:r>
      <w:r>
        <w:rPr>
          <w:spacing w:val="-3"/>
        </w:rPr>
        <w:t> </w:t>
      </w:r>
      <w:r>
        <w:rPr/>
        <w:t>Desarrollo</w:t>
      </w:r>
      <w:r>
        <w:rPr>
          <w:spacing w:val="-3"/>
        </w:rPr>
        <w:t> </w:t>
      </w:r>
      <w:r>
        <w:rPr>
          <w:spacing w:val="-2"/>
        </w:rPr>
        <w:t>Humano</w:t>
      </w:r>
    </w:p>
    <w:p>
      <w:pPr>
        <w:pStyle w:val="BodyText"/>
        <w:rPr>
          <w:b/>
        </w:rPr>
      </w:pPr>
    </w:p>
    <w:p>
      <w:pPr>
        <w:pStyle w:val="BodyText"/>
        <w:ind w:left="165" w:right="386"/>
        <w:jc w:val="both"/>
      </w:pPr>
      <w:r>
        <w:rPr/>
        <w:t>El Eje Estratégico Gestión del Desarrollo Humano tiene un resultado programado para ejecutar en el I semestre del 2024, el cual se encuentra según lo programado, a saber:</w:t>
      </w:r>
    </w:p>
    <w:p>
      <w:pPr>
        <w:pStyle w:val="BodyText"/>
      </w:pPr>
    </w:p>
    <w:p>
      <w:pPr>
        <w:pStyle w:val="BodyText"/>
        <w:ind w:left="165" w:right="397" w:firstLine="67"/>
        <w:jc w:val="both"/>
      </w:pPr>
      <w:r>
        <w:rPr/>
        <w:t>6.7.4: Ambiente Laboral mejorado a partir de la implementación de las acciones de mejora del clima institucional identificadas.</w:t>
      </w:r>
    </w:p>
    <w:p>
      <w:pPr>
        <w:pStyle w:val="BodyText"/>
        <w:spacing w:after="0"/>
        <w:jc w:val="both"/>
        <w:sectPr>
          <w:headerReference w:type="default" r:id="rId79"/>
          <w:footerReference w:type="default" r:id="rId80"/>
          <w:pgSz w:w="13370" w:h="17280"/>
          <w:pgMar w:header="0" w:footer="969" w:top="340" w:bottom="1160" w:left="1275" w:right="992"/>
        </w:sectPr>
      </w:pPr>
    </w:p>
    <w:p>
      <w:pPr>
        <w:pStyle w:val="Heading1"/>
        <w:numPr>
          <w:ilvl w:val="0"/>
          <w:numId w:val="2"/>
        </w:numPr>
        <w:tabs>
          <w:tab w:pos="495" w:val="left" w:leader="none"/>
        </w:tabs>
        <w:spacing w:line="240" w:lineRule="auto" w:before="57" w:after="0"/>
        <w:ind w:left="495" w:right="0" w:hanging="330"/>
        <w:jc w:val="left"/>
        <w:rPr>
          <w:sz w:val="42"/>
        </w:rPr>
      </w:pPr>
      <w:bookmarkStart w:name="_TOC_250000" w:id="5"/>
      <w:r>
        <w:rPr/>
        <w:t>Conclusiones</w:t>
      </w:r>
      <w:r>
        <w:rPr>
          <w:spacing w:val="-15"/>
        </w:rPr>
        <w:t> </w:t>
      </w:r>
      <w:r>
        <w:rPr/>
        <w:t>y</w:t>
      </w:r>
      <w:r>
        <w:rPr>
          <w:spacing w:val="-14"/>
        </w:rPr>
        <w:t> </w:t>
      </w:r>
      <w:bookmarkEnd w:id="5"/>
      <w:r>
        <w:rPr>
          <w:spacing w:val="-2"/>
        </w:rPr>
        <w:t>recomendaciones.</w:t>
      </w:r>
    </w:p>
    <w:p>
      <w:pPr>
        <w:pStyle w:val="BodyText"/>
        <w:spacing w:before="229"/>
        <w:ind w:left="165" w:right="384"/>
        <w:jc w:val="both"/>
      </w:pPr>
      <w:r>
        <w:rPr/>
        <w:t>En el seguimiento del Plan Estratégico Institucional PEI 2023-2028, se presenta en algunas situaciones, una falta de alineación y planificación detallada dentro de su seguimiento y ejecución, lo que podría llevar al incumplimiento de los objetivos establecidos. En este caso, la</w:t>
      </w:r>
      <w:r>
        <w:rPr>
          <w:spacing w:val="40"/>
        </w:rPr>
        <w:t> </w:t>
      </w:r>
      <w:r>
        <w:rPr/>
        <w:t>desvinculación entre los resultados, la falta de identificación de la ruta crítica y las dependencias entre resultados, así como alguna desarticulación de las unidades responsables, son indicativos claros de que se requieren hacer mejoras en la gestión de proyectos y en la coordinación entre </w:t>
      </w:r>
      <w:r>
        <w:rPr>
          <w:spacing w:val="-2"/>
        </w:rPr>
        <w:t>unidades.</w:t>
      </w:r>
    </w:p>
    <w:p>
      <w:pPr>
        <w:pStyle w:val="BodyText"/>
        <w:spacing w:before="1"/>
      </w:pPr>
    </w:p>
    <w:p>
      <w:pPr>
        <w:pStyle w:val="Heading5"/>
        <w:ind w:left="165"/>
      </w:pPr>
      <w:r>
        <w:rPr>
          <w:spacing w:val="-2"/>
        </w:rPr>
        <w:t>Conclusión:</w:t>
      </w:r>
    </w:p>
    <w:p>
      <w:pPr>
        <w:pStyle w:val="BodyText"/>
        <w:rPr>
          <w:b/>
        </w:rPr>
      </w:pPr>
    </w:p>
    <w:p>
      <w:pPr>
        <w:pStyle w:val="BodyText"/>
        <w:ind w:left="165" w:right="382"/>
        <w:jc w:val="both"/>
      </w:pPr>
      <w:r>
        <w:rPr/>
        <w:t>Se evidencia para algunos resultados, una confusión y escasa claridad del responsable de estos, lo que impide alcanzarlos de manera eficiente. Asimismo en algunos casos se presenta una desconexión entre los resultados y las actividades vinculadas entre el PEI con el POI -POGE</w:t>
      </w:r>
      <w:r>
        <w:rPr>
          <w:spacing w:val="80"/>
        </w:rPr>
        <w:t> </w:t>
      </w:r>
      <w:r>
        <w:rPr/>
        <w:t>2024, se requiere en estos casos una mayor claridad en los instrumentos para identificar las rutas críticas, las actividades predecesoras y las holguras, lo cual afecta la capacidad para priorizar acciones y ajustar los tiempos de manera adecuada. La desarticulación entre las unidades responsables de la ejecución también contribuye a la falta de sincronización de esfuerzos y a posibles duplicidades o vacíos en el trabajo.</w:t>
      </w:r>
    </w:p>
    <w:p>
      <w:pPr>
        <w:pStyle w:val="BodyText"/>
      </w:pPr>
    </w:p>
    <w:p>
      <w:pPr>
        <w:pStyle w:val="Heading5"/>
        <w:spacing w:before="1"/>
        <w:ind w:left="165"/>
      </w:pPr>
      <w:r>
        <w:rPr>
          <w:spacing w:val="-2"/>
        </w:rPr>
        <w:t>Recomendaciones:</w:t>
      </w:r>
    </w:p>
    <w:p>
      <w:pPr>
        <w:pStyle w:val="BodyText"/>
        <w:rPr>
          <w:b/>
        </w:rPr>
      </w:pPr>
    </w:p>
    <w:p>
      <w:pPr>
        <w:pStyle w:val="ListParagraph"/>
        <w:numPr>
          <w:ilvl w:val="1"/>
          <w:numId w:val="2"/>
        </w:numPr>
        <w:tabs>
          <w:tab w:pos="885" w:val="left" w:leader="none"/>
        </w:tabs>
        <w:spacing w:line="240" w:lineRule="auto" w:before="0" w:after="0"/>
        <w:ind w:left="885" w:right="387" w:hanging="360"/>
        <w:jc w:val="both"/>
        <w:rPr>
          <w:sz w:val="24"/>
        </w:rPr>
      </w:pPr>
      <w:r>
        <w:rPr>
          <w:b/>
          <w:sz w:val="24"/>
        </w:rPr>
        <w:t>Sesiones de la Comisión de seguimiento del PEI: </w:t>
      </w:r>
      <w:r>
        <w:rPr>
          <w:sz w:val="24"/>
        </w:rPr>
        <w:t>Se recomienda a partir del presente informe</w:t>
      </w:r>
      <w:r>
        <w:rPr>
          <w:b/>
          <w:sz w:val="24"/>
        </w:rPr>
        <w:t>, se realice </w:t>
      </w:r>
      <w:r>
        <w:rPr>
          <w:sz w:val="24"/>
        </w:rPr>
        <w:t>su análisis por parte de la Comisión de Seguimiento del PEI, así como</w:t>
      </w:r>
      <w:r>
        <w:rPr>
          <w:spacing w:val="40"/>
          <w:sz w:val="24"/>
        </w:rPr>
        <w:t> </w:t>
      </w:r>
      <w:r>
        <w:rPr>
          <w:sz w:val="24"/>
        </w:rPr>
        <w:t>el seguimiento a las medidas correctivas que se propongan para alcanzar el máximo cumplimiento de los resultados del PEI.</w:t>
      </w:r>
    </w:p>
    <w:p>
      <w:pPr>
        <w:pStyle w:val="ListParagraph"/>
        <w:numPr>
          <w:ilvl w:val="1"/>
          <w:numId w:val="2"/>
        </w:numPr>
        <w:tabs>
          <w:tab w:pos="885" w:val="left" w:leader="none"/>
        </w:tabs>
        <w:spacing w:line="240" w:lineRule="auto" w:before="0" w:after="0"/>
        <w:ind w:left="885" w:right="385" w:hanging="360"/>
        <w:jc w:val="both"/>
        <w:rPr>
          <w:sz w:val="24"/>
        </w:rPr>
      </w:pPr>
      <w:r>
        <w:rPr>
          <w:b/>
          <w:sz w:val="24"/>
        </w:rPr>
        <w:t>Ejes estratégicos implementen una herramienta de gestión de proyectos: </w:t>
      </w:r>
      <w:r>
        <w:rPr>
          <w:sz w:val="24"/>
        </w:rPr>
        <w:t>Se recomienda, que cada eje, a partir de insumos diseñados y proporcionados por la Unidad</w:t>
      </w:r>
      <w:r>
        <w:rPr>
          <w:spacing w:val="80"/>
          <w:sz w:val="24"/>
        </w:rPr>
        <w:t> </w:t>
      </w:r>
      <w:r>
        <w:rPr>
          <w:sz w:val="24"/>
        </w:rPr>
        <w:t>de Planificación, utilicen una herramienta, para estructurar de forma clara las actividades, dependencias y plazos, ello permitirá visualizar y controlar las rutas críticas, las actividades predecesoras y las holguras.</w:t>
      </w:r>
    </w:p>
    <w:p>
      <w:pPr>
        <w:pStyle w:val="ListParagraph"/>
        <w:numPr>
          <w:ilvl w:val="1"/>
          <w:numId w:val="2"/>
        </w:numPr>
        <w:tabs>
          <w:tab w:pos="885" w:val="left" w:leader="none"/>
        </w:tabs>
        <w:spacing w:line="240" w:lineRule="auto" w:before="0" w:after="0"/>
        <w:ind w:left="885" w:right="388" w:hanging="360"/>
        <w:jc w:val="both"/>
        <w:rPr>
          <w:sz w:val="24"/>
        </w:rPr>
      </w:pPr>
      <w:r>
        <w:rPr>
          <w:b/>
          <w:sz w:val="24"/>
        </w:rPr>
        <w:t>Revisión de las interdependencias y holguras: </w:t>
      </w:r>
      <w:r>
        <w:rPr>
          <w:sz w:val="24"/>
        </w:rPr>
        <w:t>Al identificar las rutas críticas y las actividades predecesoras, también es esencial definir las </w:t>
      </w:r>
      <w:r>
        <w:rPr>
          <w:b/>
          <w:sz w:val="24"/>
        </w:rPr>
        <w:t>holguras </w:t>
      </w:r>
      <w:r>
        <w:rPr>
          <w:sz w:val="24"/>
        </w:rPr>
        <w:t>(el tiempo adicional que se puede</w:t>
      </w:r>
      <w:r>
        <w:rPr>
          <w:spacing w:val="-2"/>
          <w:sz w:val="24"/>
        </w:rPr>
        <w:t> </w:t>
      </w:r>
      <w:r>
        <w:rPr>
          <w:sz w:val="24"/>
        </w:rPr>
        <w:t>permitir</w:t>
      </w:r>
      <w:r>
        <w:rPr>
          <w:spacing w:val="-1"/>
          <w:sz w:val="24"/>
        </w:rPr>
        <w:t> </w:t>
      </w:r>
      <w:r>
        <w:rPr>
          <w:sz w:val="24"/>
        </w:rPr>
        <w:t>sin que afecte</w:t>
      </w:r>
      <w:r>
        <w:rPr>
          <w:spacing w:val="-1"/>
          <w:sz w:val="24"/>
        </w:rPr>
        <w:t> </w:t>
      </w:r>
      <w:r>
        <w:rPr>
          <w:sz w:val="24"/>
        </w:rPr>
        <w:t>al resultado final). Esto ayudará a flexibilizar</w:t>
      </w:r>
      <w:r>
        <w:rPr>
          <w:spacing w:val="-1"/>
          <w:sz w:val="24"/>
        </w:rPr>
        <w:t> </w:t>
      </w:r>
      <w:r>
        <w:rPr>
          <w:sz w:val="24"/>
        </w:rPr>
        <w:t>el cronograma y a identificar posibles “cuellos de botella”.</w:t>
      </w:r>
    </w:p>
    <w:p>
      <w:pPr>
        <w:pStyle w:val="ListParagraph"/>
        <w:numPr>
          <w:ilvl w:val="1"/>
          <w:numId w:val="2"/>
        </w:numPr>
        <w:tabs>
          <w:tab w:pos="885" w:val="left" w:leader="none"/>
        </w:tabs>
        <w:spacing w:line="240" w:lineRule="auto" w:before="1" w:after="0"/>
        <w:ind w:left="885" w:right="388" w:hanging="360"/>
        <w:jc w:val="both"/>
        <w:rPr>
          <w:sz w:val="24"/>
        </w:rPr>
      </w:pPr>
      <w:r>
        <w:rPr>
          <w:b/>
          <w:sz w:val="24"/>
        </w:rPr>
        <w:t>Definición de responsables técnicos a lo interno de cada eje: </w:t>
      </w:r>
      <w:r>
        <w:rPr>
          <w:sz w:val="24"/>
        </w:rPr>
        <w:t>Se recomienda que cada eje designe un responsable o responsables técnicos que lleven el control y seguimiento de los resultados del PEI</w:t>
      </w:r>
      <w:r>
        <w:rPr>
          <w:spacing w:val="-1"/>
          <w:sz w:val="24"/>
        </w:rPr>
        <w:t> </w:t>
      </w:r>
      <w:r>
        <w:rPr>
          <w:sz w:val="24"/>
        </w:rPr>
        <w:t>y de la vinculación y</w:t>
      </w:r>
      <w:r>
        <w:rPr>
          <w:spacing w:val="-1"/>
          <w:sz w:val="24"/>
        </w:rPr>
        <w:t> </w:t>
      </w:r>
      <w:r>
        <w:rPr>
          <w:sz w:val="24"/>
        </w:rPr>
        <w:t>ejecución con las</w:t>
      </w:r>
      <w:r>
        <w:rPr>
          <w:spacing w:val="-1"/>
          <w:sz w:val="24"/>
        </w:rPr>
        <w:t> </w:t>
      </w:r>
      <w:r>
        <w:rPr>
          <w:sz w:val="24"/>
        </w:rPr>
        <w:t>actividades</w:t>
      </w:r>
      <w:r>
        <w:rPr>
          <w:spacing w:val="-1"/>
          <w:sz w:val="24"/>
        </w:rPr>
        <w:t> </w:t>
      </w:r>
      <w:r>
        <w:rPr>
          <w:sz w:val="24"/>
        </w:rPr>
        <w:t>programadas en</w:t>
      </w:r>
      <w:r>
        <w:rPr>
          <w:spacing w:val="-1"/>
          <w:sz w:val="24"/>
        </w:rPr>
        <w:t> </w:t>
      </w:r>
      <w:r>
        <w:rPr>
          <w:sz w:val="24"/>
        </w:rPr>
        <w:t>el POI-POGE de cada año.</w:t>
      </w:r>
    </w:p>
    <w:p>
      <w:pPr>
        <w:pStyle w:val="ListParagraph"/>
        <w:numPr>
          <w:ilvl w:val="1"/>
          <w:numId w:val="2"/>
        </w:numPr>
        <w:tabs>
          <w:tab w:pos="885" w:val="left" w:leader="none"/>
        </w:tabs>
        <w:spacing w:line="240" w:lineRule="auto" w:before="0" w:after="0"/>
        <w:ind w:left="885" w:right="386" w:hanging="360"/>
        <w:jc w:val="both"/>
        <w:rPr>
          <w:sz w:val="24"/>
        </w:rPr>
      </w:pPr>
      <w:r>
        <w:rPr>
          <w:b/>
          <w:sz w:val="24"/>
        </w:rPr>
        <w:t>Definición de programación anual de sesiones de cada eje con asesores de la Unidad de Planificación: </w:t>
      </w:r>
      <w:r>
        <w:rPr>
          <w:sz w:val="24"/>
        </w:rPr>
        <w:t>Se recomienda al menos una vez cada tres meses se realicen sesiones de trabajo de cada uno de los ejes con los respectivos asesores de la Unidad de Planificación, para revisar los avances, así como los obstáculos que pueden estar</w:t>
      </w:r>
      <w:r>
        <w:rPr>
          <w:spacing w:val="40"/>
          <w:sz w:val="24"/>
        </w:rPr>
        <w:t> </w:t>
      </w:r>
      <w:r>
        <w:rPr>
          <w:sz w:val="24"/>
        </w:rPr>
        <w:t>afectando la efectiva ejecución de las actividades del POI-POGE vinculadas con resultados del PEI, a partir de ello establecer medidas correctivas. Para la coordinación entre los ejes, se recomienda que la comisión de seguimiento y evaluación del PEI, impulse el desarrollo de espacios, semestrales, de coordinación entre los responsables técnicos de los ejes para hacer seguimiento de los avances y resolver bloqueos o desacuerdos.</w:t>
      </w:r>
    </w:p>
    <w:p>
      <w:pPr>
        <w:pStyle w:val="ListParagraph"/>
        <w:numPr>
          <w:ilvl w:val="1"/>
          <w:numId w:val="2"/>
        </w:numPr>
        <w:tabs>
          <w:tab w:pos="885" w:val="left" w:leader="none"/>
        </w:tabs>
        <w:spacing w:line="240" w:lineRule="auto" w:before="1" w:after="0"/>
        <w:ind w:left="885" w:right="395" w:hanging="360"/>
        <w:jc w:val="both"/>
        <w:rPr>
          <w:sz w:val="24"/>
        </w:rPr>
      </w:pPr>
      <w:r>
        <w:rPr>
          <w:b/>
          <w:sz w:val="24"/>
        </w:rPr>
        <w:t>Capacitación y sensibilización: </w:t>
      </w:r>
      <w:r>
        <w:rPr>
          <w:sz w:val="24"/>
        </w:rPr>
        <w:t>Capacitar a los responsables de la ejecución de los resultados sobre la importancia de la planificación y el uso de herramientas de gestión de proyectos. La sensibilización sobre la interdependencia de las actividades puede mejorar la toma de decisiones y la colaboración interdepartamental.</w:t>
      </w:r>
    </w:p>
    <w:p>
      <w:pPr>
        <w:pStyle w:val="ListParagraph"/>
        <w:spacing w:after="0" w:line="240" w:lineRule="auto"/>
        <w:jc w:val="both"/>
        <w:rPr>
          <w:sz w:val="24"/>
        </w:rPr>
        <w:sectPr>
          <w:headerReference w:type="default" r:id="rId81"/>
          <w:footerReference w:type="default" r:id="rId82"/>
          <w:pgSz w:w="13370" w:h="17280"/>
          <w:pgMar w:header="0" w:footer="969" w:top="360" w:bottom="1160" w:left="1275" w:right="992"/>
        </w:sectPr>
      </w:pPr>
    </w:p>
    <w:p>
      <w:pPr>
        <w:pStyle w:val="BodyText"/>
        <w:spacing w:before="78"/>
        <w:ind w:left="165" w:right="394"/>
        <w:jc w:val="both"/>
      </w:pPr>
      <w:r>
        <w:rPr/>
        <w:t>Implementando estas recomendaciones, se podrá mejorar la alineación entre los resultados, las actividades y las unidades responsables, lo que, a su vez, contribuirá al cumplimiento más</w:t>
      </w:r>
      <w:r>
        <w:rPr>
          <w:spacing w:val="40"/>
        </w:rPr>
        <w:t> </w:t>
      </w:r>
      <w:r>
        <w:rPr/>
        <w:t>eficiente de los objetivos estratégicos.</w:t>
      </w:r>
    </w:p>
    <w:sectPr>
      <w:headerReference w:type="default" r:id="rId83"/>
      <w:footerReference w:type="default" r:id="rId84"/>
      <w:pgSz w:w="13370" w:h="17280"/>
      <w:pgMar w:header="0" w:footer="969" w:top="340" w:bottom="1160" w:left="1275"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4288">
              <wp:simplePos x="0" y="0"/>
              <wp:positionH relativeFrom="page">
                <wp:posOffset>7506969</wp:posOffset>
              </wp:positionH>
              <wp:positionV relativeFrom="page">
                <wp:posOffset>10217969</wp:posOffset>
              </wp:positionV>
              <wp:extent cx="15240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2400" cy="165735"/>
                      </a:xfrm>
                      <a:prstGeom prst="rect">
                        <a:avLst/>
                      </a:prstGeom>
                    </wps:spPr>
                    <wps:txbx>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91.099976pt;margin-top:804.564514pt;width:12pt;height:13.05pt;mso-position-horizontal-relative:page;mso-position-vertical-relative:page;z-index:-17032192" type="#_x0000_t202" id="docshape1" filled="false" stroked="false">
              <v:textbox inset="0,0,0,0">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4800">
              <wp:simplePos x="0" y="0"/>
              <wp:positionH relativeFrom="page">
                <wp:posOffset>7371333</wp:posOffset>
              </wp:positionH>
              <wp:positionV relativeFrom="page">
                <wp:posOffset>10217969</wp:posOffset>
              </wp:positionV>
              <wp:extent cx="152400" cy="1657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2400" cy="165735"/>
                      </a:xfrm>
                      <a:prstGeom prst="rect">
                        <a:avLst/>
                      </a:prstGeom>
                    </wps:spPr>
                    <wps:txbx>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4</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style="position:absolute;margin-left:580.419983pt;margin-top:804.564514pt;width:12pt;height:13.05pt;mso-position-horizontal-relative:page;mso-position-vertical-relative:page;z-index:-17031680" type="#_x0000_t202" id="docshape5" filled="false" stroked="false">
              <v:textbox inset="0,0,0,0">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4</w:t>
                    </w:r>
                    <w:r>
                      <w:rPr>
                        <w:rFonts w:ascii="Times New Roman"/>
                        <w:spacing w:val="-10"/>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5824">
              <wp:simplePos x="0" y="0"/>
              <wp:positionH relativeFrom="page">
                <wp:posOffset>7506969</wp:posOffset>
              </wp:positionH>
              <wp:positionV relativeFrom="page">
                <wp:posOffset>10217969</wp:posOffset>
              </wp:positionV>
              <wp:extent cx="152400" cy="16573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52400" cy="165735"/>
                      </a:xfrm>
                      <a:prstGeom prst="rect">
                        <a:avLst/>
                      </a:prstGeom>
                    </wps:spPr>
                    <wps:txbx>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8</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style="position:absolute;margin-left:591.099976pt;margin-top:804.564514pt;width:12pt;height:13.05pt;mso-position-horizontal-relative:page;mso-position-vertical-relative:page;z-index:-17030656" type="#_x0000_t202" id="docshape7" filled="false" stroked="false">
              <v:textbox inset="0,0,0,0">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8</w:t>
                    </w:r>
                    <w:r>
                      <w:rPr>
                        <w:rFonts w:ascii="Times New Roman"/>
                        <w:spacing w:val="-10"/>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7360">
              <wp:simplePos x="0" y="0"/>
              <wp:positionH relativeFrom="page">
                <wp:posOffset>7506969</wp:posOffset>
              </wp:positionH>
              <wp:positionV relativeFrom="page">
                <wp:posOffset>10217969</wp:posOffset>
              </wp:positionV>
              <wp:extent cx="152400" cy="16573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52400" cy="165735"/>
                      </a:xfrm>
                      <a:prstGeom prst="rect">
                        <a:avLst/>
                      </a:prstGeom>
                    </wps:spPr>
                    <wps:txbx>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9</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style="position:absolute;margin-left:591.099976pt;margin-top:804.564514pt;width:12pt;height:13.05pt;mso-position-horizontal-relative:page;mso-position-vertical-relative:page;z-index:-17029120" type="#_x0000_t202" id="docshape9" filled="false" stroked="false">
              <v:textbox inset="0,0,0,0">
                <w:txbxContent>
                  <w:p>
                    <w:pPr>
                      <w:spacing w:before="10"/>
                      <w:ind w:left="60" w:right="0" w:firstLine="0"/>
                      <w:jc w:val="left"/>
                      <w:rPr>
                        <w:rFonts w:ascii="Times New Roman"/>
                        <w:sz w:val="20"/>
                      </w:rPr>
                    </w:pPr>
                    <w:r>
                      <w:rPr>
                        <w:rFonts w:ascii="Times New Roman"/>
                        <w:spacing w:val="-10"/>
                        <w:sz w:val="20"/>
                      </w:rPr>
                      <w:fldChar w:fldCharType="begin"/>
                    </w:r>
                    <w:r>
                      <w:rPr>
                        <w:rFonts w:ascii="Times New Roman"/>
                        <w:spacing w:val="-10"/>
                        <w:sz w:val="20"/>
                      </w:rPr>
                      <w:instrText> PAGE </w:instrText>
                    </w:r>
                    <w:r>
                      <w:rPr>
                        <w:rFonts w:ascii="Times New Roman"/>
                        <w:spacing w:val="-10"/>
                        <w:sz w:val="20"/>
                      </w:rPr>
                      <w:fldChar w:fldCharType="separate"/>
                    </w:r>
                    <w:r>
                      <w:rPr>
                        <w:rFonts w:ascii="Times New Roman"/>
                        <w:spacing w:val="-10"/>
                        <w:sz w:val="20"/>
                      </w:rPr>
                      <w:t>9</w:t>
                    </w:r>
                    <w:r>
                      <w:rPr>
                        <w:rFonts w:ascii="Times New Roman"/>
                        <w:spacing w:val="-10"/>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88896">
              <wp:simplePos x="0" y="0"/>
              <wp:positionH relativeFrom="page">
                <wp:posOffset>7469885</wp:posOffset>
              </wp:positionH>
              <wp:positionV relativeFrom="page">
                <wp:posOffset>10217969</wp:posOffset>
              </wp:positionV>
              <wp:extent cx="153670" cy="16573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53670" cy="165735"/>
                      </a:xfrm>
                      <a:prstGeom prst="rect">
                        <a:avLst/>
                      </a:prstGeom>
                    </wps:spPr>
                    <wps:txbx>
                      <w:txbxContent>
                        <w:p>
                          <w:pPr>
                            <w:spacing w:before="10"/>
                            <w:ind w:left="20" w:right="0" w:firstLine="0"/>
                            <w:jc w:val="left"/>
                            <w:rPr>
                              <w:rFonts w:ascii="Times New Roman"/>
                              <w:sz w:val="20"/>
                            </w:rPr>
                          </w:pPr>
                          <w:r>
                            <w:rPr>
                              <w:rFonts w:ascii="Times New Roman"/>
                              <w:spacing w:val="-5"/>
                              <w:sz w:val="20"/>
                            </w:rPr>
                            <w:t>10</w:t>
                          </w:r>
                        </w:p>
                      </w:txbxContent>
                    </wps:txbx>
                    <wps:bodyPr wrap="square" lIns="0" tIns="0" rIns="0" bIns="0" rtlCol="0">
                      <a:noAutofit/>
                    </wps:bodyPr>
                  </wps:wsp>
                </a:graphicData>
              </a:graphic>
            </wp:anchor>
          </w:drawing>
        </mc:Choice>
        <mc:Fallback>
          <w:pict>
            <v:shape style="position:absolute;margin-left:588.179993pt;margin-top:804.564514pt;width:12.1pt;height:13.05pt;mso-position-horizontal-relative:page;mso-position-vertical-relative:page;z-index:-17027584" type="#_x0000_t202" id="docshape16" filled="false" stroked="false">
              <v:textbox inset="0,0,0,0">
                <w:txbxContent>
                  <w:p>
                    <w:pPr>
                      <w:spacing w:before="10"/>
                      <w:ind w:left="20" w:right="0" w:firstLine="0"/>
                      <w:jc w:val="left"/>
                      <w:rPr>
                        <w:rFonts w:ascii="Times New Roman"/>
                        <w:sz w:val="20"/>
                      </w:rPr>
                    </w:pPr>
                    <w:r>
                      <w:rPr>
                        <w:rFonts w:ascii="Times New Roman"/>
                        <w:spacing w:val="-5"/>
                        <w:sz w:val="20"/>
                      </w:rPr>
                      <w:t>10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89408">
              <wp:simplePos x="0" y="0"/>
              <wp:positionH relativeFrom="page">
                <wp:posOffset>1843785</wp:posOffset>
              </wp:positionH>
              <wp:positionV relativeFrom="page">
                <wp:posOffset>10259977</wp:posOffset>
              </wp:positionV>
              <wp:extent cx="668655" cy="15875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668655" cy="158750"/>
                      </a:xfrm>
                      <a:prstGeom prst="rect">
                        <a:avLst/>
                      </a:prstGeom>
                    </wps:spPr>
                    <wps:txbx>
                      <w:txbxContent>
                        <w:p>
                          <w:pPr>
                            <w:spacing w:before="11"/>
                            <w:ind w:left="20" w:right="0" w:firstLine="0"/>
                            <w:jc w:val="left"/>
                            <w:rPr>
                              <w:rFonts w:ascii="Times New Roman"/>
                              <w:sz w:val="19"/>
                            </w:rPr>
                          </w:pPr>
                          <w:r>
                            <w:rPr>
                              <w:rFonts w:ascii="Times New Roman"/>
                              <w:sz w:val="19"/>
                            </w:rPr>
                            <w:t>por</w:t>
                          </w:r>
                          <w:r>
                            <w:rPr>
                              <w:rFonts w:ascii="Times New Roman"/>
                              <w:spacing w:val="-4"/>
                              <w:sz w:val="19"/>
                            </w:rPr>
                            <w:t> </w:t>
                          </w:r>
                          <w:r>
                            <w:rPr>
                              <w:rFonts w:ascii="Times New Roman"/>
                              <w:spacing w:val="-2"/>
                              <w:sz w:val="19"/>
                            </w:rPr>
                            <w:t>procesos.</w:t>
                          </w:r>
                        </w:p>
                      </w:txbxContent>
                    </wps:txbx>
                    <wps:bodyPr wrap="square" lIns="0" tIns="0" rIns="0" bIns="0" rtlCol="0">
                      <a:noAutofit/>
                    </wps:bodyPr>
                  </wps:wsp>
                </a:graphicData>
              </a:graphic>
            </wp:anchor>
          </w:drawing>
        </mc:Choice>
        <mc:Fallback>
          <w:pict>
            <v:shape style="position:absolute;margin-left:145.179993pt;margin-top:807.872253pt;width:52.65pt;height:12.5pt;mso-position-horizontal-relative:page;mso-position-vertical-relative:page;z-index:-17027072" type="#_x0000_t202" id="docshape17" filled="false" stroked="false">
              <v:textbox inset="0,0,0,0">
                <w:txbxContent>
                  <w:p>
                    <w:pPr>
                      <w:spacing w:before="11"/>
                      <w:ind w:left="20" w:right="0" w:firstLine="0"/>
                      <w:jc w:val="left"/>
                      <w:rPr>
                        <w:rFonts w:ascii="Times New Roman"/>
                        <w:sz w:val="19"/>
                      </w:rPr>
                    </w:pPr>
                    <w:r>
                      <w:rPr>
                        <w:rFonts w:ascii="Times New Roman"/>
                        <w:sz w:val="19"/>
                      </w:rPr>
                      <w:t>por</w:t>
                    </w:r>
                    <w:r>
                      <w:rPr>
                        <w:rFonts w:ascii="Times New Roman"/>
                        <w:spacing w:val="-4"/>
                        <w:sz w:val="19"/>
                      </w:rPr>
                      <w:t> </w:t>
                    </w:r>
                    <w:r>
                      <w:rPr>
                        <w:rFonts w:ascii="Times New Roman"/>
                        <w:spacing w:val="-2"/>
                        <w:sz w:val="19"/>
                      </w:rPr>
                      <w:t>procesos.</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3"/>
      </w:rPr>
    </w:pPr>
    <w:r>
      <w:rPr>
        <w:sz w:val="3"/>
      </w:rPr>
      <mc:AlternateContent>
        <mc:Choice Requires="wps">
          <w:drawing>
            <wp:anchor distT="0" distB="0" distL="0" distR="0" allowOverlap="1" layoutInCell="1" locked="0" behindDoc="1" simplePos="0" relativeHeight="486290944">
              <wp:simplePos x="0" y="0"/>
              <wp:positionH relativeFrom="page">
                <wp:posOffset>7444485</wp:posOffset>
              </wp:positionH>
              <wp:positionV relativeFrom="page">
                <wp:posOffset>10217969</wp:posOffset>
              </wp:positionV>
              <wp:extent cx="217170" cy="16573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13</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5536" type="#_x0000_t202" id="docshape21"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13</w:t>
                    </w:r>
                    <w:r>
                      <w:rPr>
                        <w:rFonts w:ascii="Times New Roman"/>
                        <w:spacing w:val="-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2480">
              <wp:simplePos x="0" y="0"/>
              <wp:positionH relativeFrom="page">
                <wp:posOffset>1843785</wp:posOffset>
              </wp:positionH>
              <wp:positionV relativeFrom="page">
                <wp:posOffset>10153297</wp:posOffset>
              </wp:positionV>
              <wp:extent cx="3019425" cy="15875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3019425" cy="158750"/>
                      </a:xfrm>
                      <a:prstGeom prst="rect">
                        <a:avLst/>
                      </a:prstGeom>
                    </wps:spPr>
                    <wps:txbx>
                      <w:txbxContent>
                        <w:p>
                          <w:pPr>
                            <w:spacing w:before="11"/>
                            <w:ind w:left="20" w:right="0" w:firstLine="0"/>
                            <w:jc w:val="left"/>
                            <w:rPr>
                              <w:rFonts w:ascii="Times New Roman" w:hAnsi="Times New Roman"/>
                              <w:sz w:val="19"/>
                            </w:rPr>
                          </w:pPr>
                          <w:r>
                            <w:rPr>
                              <w:rFonts w:ascii="Times New Roman" w:hAnsi="Times New Roman"/>
                              <w:sz w:val="19"/>
                            </w:rPr>
                            <w:t>operativo</w:t>
                          </w:r>
                          <w:r>
                            <w:rPr>
                              <w:rFonts w:ascii="Times New Roman" w:hAnsi="Times New Roman"/>
                              <w:spacing w:val="-6"/>
                              <w:sz w:val="19"/>
                            </w:rPr>
                            <w:t> </w:t>
                          </w:r>
                          <w:r>
                            <w:rPr>
                              <w:rFonts w:ascii="Times New Roman" w:hAnsi="Times New Roman"/>
                              <w:sz w:val="19"/>
                            </w:rPr>
                            <w:t>para</w:t>
                          </w:r>
                          <w:r>
                            <w:rPr>
                              <w:rFonts w:ascii="Times New Roman" w:hAnsi="Times New Roman"/>
                              <w:spacing w:val="-5"/>
                              <w:sz w:val="19"/>
                            </w:rPr>
                            <w:t> </w:t>
                          </w:r>
                          <w:r>
                            <w:rPr>
                              <w:rFonts w:ascii="Times New Roman" w:hAnsi="Times New Roman"/>
                              <w:sz w:val="19"/>
                            </w:rPr>
                            <w:t>una</w:t>
                          </w:r>
                          <w:r>
                            <w:rPr>
                              <w:rFonts w:ascii="Times New Roman" w:hAnsi="Times New Roman"/>
                              <w:spacing w:val="-6"/>
                              <w:sz w:val="19"/>
                            </w:rPr>
                            <w:t> </w:t>
                          </w:r>
                          <w:r>
                            <w:rPr>
                              <w:rFonts w:ascii="Times New Roman" w:hAnsi="Times New Roman"/>
                              <w:sz w:val="19"/>
                            </w:rPr>
                            <w:t>mayor</w:t>
                          </w:r>
                          <w:r>
                            <w:rPr>
                              <w:rFonts w:ascii="Times New Roman" w:hAnsi="Times New Roman"/>
                              <w:spacing w:val="-5"/>
                              <w:sz w:val="19"/>
                            </w:rPr>
                            <w:t> </w:t>
                          </w:r>
                          <w:r>
                            <w:rPr>
                              <w:rFonts w:ascii="Times New Roman" w:hAnsi="Times New Roman"/>
                              <w:sz w:val="19"/>
                            </w:rPr>
                            <w:t>eficiencia</w:t>
                          </w:r>
                          <w:r>
                            <w:rPr>
                              <w:rFonts w:ascii="Times New Roman" w:hAnsi="Times New Roman"/>
                              <w:spacing w:val="-6"/>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gestión</w:t>
                          </w:r>
                          <w:r>
                            <w:rPr>
                              <w:rFonts w:ascii="Times New Roman" w:hAnsi="Times New Roman"/>
                              <w:spacing w:val="-5"/>
                              <w:sz w:val="19"/>
                            </w:rPr>
                            <w:t> </w:t>
                          </w:r>
                          <w:r>
                            <w:rPr>
                              <w:rFonts w:ascii="Times New Roman" w:hAnsi="Times New Roman"/>
                              <w:sz w:val="19"/>
                            </w:rPr>
                            <w:t>del</w:t>
                          </w:r>
                          <w:r>
                            <w:rPr>
                              <w:rFonts w:ascii="Times New Roman" w:hAnsi="Times New Roman"/>
                              <w:spacing w:val="-6"/>
                              <w:sz w:val="19"/>
                            </w:rPr>
                            <w:t> </w:t>
                          </w:r>
                          <w:r>
                            <w:rPr>
                              <w:rFonts w:ascii="Times New Roman" w:hAnsi="Times New Roman"/>
                              <w:spacing w:val="-2"/>
                              <w:sz w:val="19"/>
                            </w:rPr>
                            <w:t>negocio.</w:t>
                          </w:r>
                        </w:p>
                      </w:txbxContent>
                    </wps:txbx>
                    <wps:bodyPr wrap="square" lIns="0" tIns="0" rIns="0" bIns="0" rtlCol="0">
                      <a:noAutofit/>
                    </wps:bodyPr>
                  </wps:wsp>
                </a:graphicData>
              </a:graphic>
            </wp:anchor>
          </w:drawing>
        </mc:Choice>
        <mc:Fallback>
          <w:pict>
            <v:shape style="position:absolute;margin-left:145.179993pt;margin-top:799.472229pt;width:237.75pt;height:12.5pt;mso-position-horizontal-relative:page;mso-position-vertical-relative:page;z-index:-17024000" type="#_x0000_t202" id="docshape40" filled="false" stroked="false">
              <v:textbox inset="0,0,0,0">
                <w:txbxContent>
                  <w:p>
                    <w:pPr>
                      <w:spacing w:before="11"/>
                      <w:ind w:left="20" w:right="0" w:firstLine="0"/>
                      <w:jc w:val="left"/>
                      <w:rPr>
                        <w:rFonts w:ascii="Times New Roman" w:hAnsi="Times New Roman"/>
                        <w:sz w:val="19"/>
                      </w:rPr>
                    </w:pPr>
                    <w:r>
                      <w:rPr>
                        <w:rFonts w:ascii="Times New Roman" w:hAnsi="Times New Roman"/>
                        <w:sz w:val="19"/>
                      </w:rPr>
                      <w:t>operativo</w:t>
                    </w:r>
                    <w:r>
                      <w:rPr>
                        <w:rFonts w:ascii="Times New Roman" w:hAnsi="Times New Roman"/>
                        <w:spacing w:val="-6"/>
                        <w:sz w:val="19"/>
                      </w:rPr>
                      <w:t> </w:t>
                    </w:r>
                    <w:r>
                      <w:rPr>
                        <w:rFonts w:ascii="Times New Roman" w:hAnsi="Times New Roman"/>
                        <w:sz w:val="19"/>
                      </w:rPr>
                      <w:t>para</w:t>
                    </w:r>
                    <w:r>
                      <w:rPr>
                        <w:rFonts w:ascii="Times New Roman" w:hAnsi="Times New Roman"/>
                        <w:spacing w:val="-5"/>
                        <w:sz w:val="19"/>
                      </w:rPr>
                      <w:t> </w:t>
                    </w:r>
                    <w:r>
                      <w:rPr>
                        <w:rFonts w:ascii="Times New Roman" w:hAnsi="Times New Roman"/>
                        <w:sz w:val="19"/>
                      </w:rPr>
                      <w:t>una</w:t>
                    </w:r>
                    <w:r>
                      <w:rPr>
                        <w:rFonts w:ascii="Times New Roman" w:hAnsi="Times New Roman"/>
                        <w:spacing w:val="-6"/>
                        <w:sz w:val="19"/>
                      </w:rPr>
                      <w:t> </w:t>
                    </w:r>
                    <w:r>
                      <w:rPr>
                        <w:rFonts w:ascii="Times New Roman" w:hAnsi="Times New Roman"/>
                        <w:sz w:val="19"/>
                      </w:rPr>
                      <w:t>mayor</w:t>
                    </w:r>
                    <w:r>
                      <w:rPr>
                        <w:rFonts w:ascii="Times New Roman" w:hAnsi="Times New Roman"/>
                        <w:spacing w:val="-5"/>
                        <w:sz w:val="19"/>
                      </w:rPr>
                      <w:t> </w:t>
                    </w:r>
                    <w:r>
                      <w:rPr>
                        <w:rFonts w:ascii="Times New Roman" w:hAnsi="Times New Roman"/>
                        <w:sz w:val="19"/>
                      </w:rPr>
                      <w:t>eficiencia</w:t>
                    </w:r>
                    <w:r>
                      <w:rPr>
                        <w:rFonts w:ascii="Times New Roman" w:hAnsi="Times New Roman"/>
                        <w:spacing w:val="-6"/>
                        <w:sz w:val="19"/>
                      </w:rPr>
                      <w:t> </w:t>
                    </w:r>
                    <w:r>
                      <w:rPr>
                        <w:rFonts w:ascii="Times New Roman" w:hAnsi="Times New Roman"/>
                        <w:sz w:val="19"/>
                      </w:rPr>
                      <w:t>en</w:t>
                    </w:r>
                    <w:r>
                      <w:rPr>
                        <w:rFonts w:ascii="Times New Roman" w:hAnsi="Times New Roman"/>
                        <w:spacing w:val="-3"/>
                        <w:sz w:val="19"/>
                      </w:rPr>
                      <w:t> </w:t>
                    </w:r>
                    <w:r>
                      <w:rPr>
                        <w:rFonts w:ascii="Times New Roman" w:hAnsi="Times New Roman"/>
                        <w:sz w:val="19"/>
                      </w:rPr>
                      <w:t>la</w:t>
                    </w:r>
                    <w:r>
                      <w:rPr>
                        <w:rFonts w:ascii="Times New Roman" w:hAnsi="Times New Roman"/>
                        <w:spacing w:val="-6"/>
                        <w:sz w:val="19"/>
                      </w:rPr>
                      <w:t> </w:t>
                    </w:r>
                    <w:r>
                      <w:rPr>
                        <w:rFonts w:ascii="Times New Roman" w:hAnsi="Times New Roman"/>
                        <w:sz w:val="19"/>
                      </w:rPr>
                      <w:t>gestión</w:t>
                    </w:r>
                    <w:r>
                      <w:rPr>
                        <w:rFonts w:ascii="Times New Roman" w:hAnsi="Times New Roman"/>
                        <w:spacing w:val="-5"/>
                        <w:sz w:val="19"/>
                      </w:rPr>
                      <w:t> </w:t>
                    </w:r>
                    <w:r>
                      <w:rPr>
                        <w:rFonts w:ascii="Times New Roman" w:hAnsi="Times New Roman"/>
                        <w:sz w:val="19"/>
                      </w:rPr>
                      <w:t>del</w:t>
                    </w:r>
                    <w:r>
                      <w:rPr>
                        <w:rFonts w:ascii="Times New Roman" w:hAnsi="Times New Roman"/>
                        <w:spacing w:val="-6"/>
                        <w:sz w:val="19"/>
                      </w:rPr>
                      <w:t> </w:t>
                    </w:r>
                    <w:r>
                      <w:rPr>
                        <w:rFonts w:ascii="Times New Roman" w:hAnsi="Times New Roman"/>
                        <w:spacing w:val="-2"/>
                        <w:sz w:val="19"/>
                      </w:rPr>
                      <w:t>negocio.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92992">
              <wp:simplePos x="0" y="0"/>
              <wp:positionH relativeFrom="page">
                <wp:posOffset>7444485</wp:posOffset>
              </wp:positionH>
              <wp:positionV relativeFrom="page">
                <wp:posOffset>10217969</wp:posOffset>
              </wp:positionV>
              <wp:extent cx="217170" cy="16573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16</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3488" type="#_x0000_t202" id="docshape41"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16</w:t>
                    </w:r>
                    <w:r>
                      <w:rPr>
                        <w:rFonts w:ascii="Times New Roman"/>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4528">
              <wp:simplePos x="0" y="0"/>
              <wp:positionH relativeFrom="page">
                <wp:posOffset>7444485</wp:posOffset>
              </wp:positionH>
              <wp:positionV relativeFrom="page">
                <wp:posOffset>10217969</wp:posOffset>
              </wp:positionV>
              <wp:extent cx="217170" cy="16573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17</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1952" type="#_x0000_t202" id="docshape51"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17</w:t>
                    </w:r>
                    <w:r>
                      <w:rPr>
                        <w:rFonts w:ascii="Times New Roman"/>
                        <w:spacing w:val="-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w:sz w:val="17"/>
      </w:rPr>
      <mc:AlternateContent>
        <mc:Choice Requires="wps">
          <w:drawing>
            <wp:anchor distT="0" distB="0" distL="0" distR="0" allowOverlap="1" layoutInCell="1" locked="0" behindDoc="1" simplePos="0" relativeHeight="486295040">
              <wp:simplePos x="0" y="0"/>
              <wp:positionH relativeFrom="page">
                <wp:posOffset>7444485</wp:posOffset>
              </wp:positionH>
              <wp:positionV relativeFrom="page">
                <wp:posOffset>10217969</wp:posOffset>
              </wp:positionV>
              <wp:extent cx="217170" cy="16573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21</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1440" type="#_x0000_t202" id="docshape53"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21</w:t>
                    </w:r>
                    <w:r>
                      <w:rPr>
                        <w:rFonts w:ascii="Times New Roman"/>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5552">
              <wp:simplePos x="0" y="0"/>
              <wp:positionH relativeFrom="page">
                <wp:posOffset>7444485</wp:posOffset>
              </wp:positionH>
              <wp:positionV relativeFrom="page">
                <wp:posOffset>10217969</wp:posOffset>
              </wp:positionV>
              <wp:extent cx="217170" cy="16573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0928" type="#_x0000_t202" id="docshape54"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20</w:t>
                    </w:r>
                    <w:r>
                      <w:rPr>
                        <w:rFonts w:ascii="Times New Roman"/>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6064">
              <wp:simplePos x="0" y="0"/>
              <wp:positionH relativeFrom="page">
                <wp:posOffset>7444485</wp:posOffset>
              </wp:positionH>
              <wp:positionV relativeFrom="page">
                <wp:posOffset>10217969</wp:posOffset>
              </wp:positionV>
              <wp:extent cx="217170" cy="16573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21</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20416" type="#_x0000_t202" id="docshape55"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21</w:t>
                    </w:r>
                    <w:r>
                      <w:rPr>
                        <w:rFonts w:ascii="Times New Roman"/>
                        <w:spacing w:val="-5"/>
                        <w:sz w:val="20"/>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6576">
              <wp:simplePos x="0" y="0"/>
              <wp:positionH relativeFrom="page">
                <wp:posOffset>7444485</wp:posOffset>
              </wp:positionH>
              <wp:positionV relativeFrom="page">
                <wp:posOffset>10217969</wp:posOffset>
              </wp:positionV>
              <wp:extent cx="217170" cy="16573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22</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9904" type="#_x0000_t202" id="docshape56"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22</w:t>
                    </w:r>
                    <w:r>
                      <w:rPr>
                        <w:rFonts w:ascii="Times New Roman"/>
                        <w:spacing w:val="-5"/>
                        <w:sz w:val="20"/>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7088">
              <wp:simplePos x="0" y="0"/>
              <wp:positionH relativeFrom="page">
                <wp:posOffset>7444485</wp:posOffset>
              </wp:positionH>
              <wp:positionV relativeFrom="page">
                <wp:posOffset>10217969</wp:posOffset>
              </wp:positionV>
              <wp:extent cx="217170" cy="16573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23</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9392" type="#_x0000_t202" id="docshape57"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23</w:t>
                    </w:r>
                    <w:r>
                      <w:rPr>
                        <w:rFonts w:ascii="Times New Roman"/>
                        <w:spacing w:val="-5"/>
                        <w:sz w:val="20"/>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7600">
              <wp:simplePos x="0" y="0"/>
              <wp:positionH relativeFrom="page">
                <wp:posOffset>7444485</wp:posOffset>
              </wp:positionH>
              <wp:positionV relativeFrom="page">
                <wp:posOffset>10217969</wp:posOffset>
              </wp:positionV>
              <wp:extent cx="217170" cy="16573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24</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8880" type="#_x0000_t202" id="docshape58"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24</w:t>
                    </w:r>
                    <w:r>
                      <w:rPr>
                        <w:rFonts w:ascii="Times New Roman"/>
                        <w:spacing w:val="-5"/>
                        <w:sz w:val="20"/>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8112">
              <wp:simplePos x="0" y="0"/>
              <wp:positionH relativeFrom="page">
                <wp:posOffset>7444485</wp:posOffset>
              </wp:positionH>
              <wp:positionV relativeFrom="page">
                <wp:posOffset>10217969</wp:posOffset>
              </wp:positionV>
              <wp:extent cx="217170" cy="16573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25</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8368" type="#_x0000_t202" id="docshape59"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25</w:t>
                    </w:r>
                    <w:r>
                      <w:rPr>
                        <w:rFonts w:ascii="Times New Roman"/>
                        <w:spacing w:val="-5"/>
                        <w:sz w:val="20"/>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8624">
              <wp:simplePos x="0" y="0"/>
              <wp:positionH relativeFrom="page">
                <wp:posOffset>7444485</wp:posOffset>
              </wp:positionH>
              <wp:positionV relativeFrom="page">
                <wp:posOffset>10217969</wp:posOffset>
              </wp:positionV>
              <wp:extent cx="217170" cy="16573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26</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7856" type="#_x0000_t202" id="docshape60"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26</w:t>
                    </w:r>
                    <w:r>
                      <w:rPr>
                        <w:rFonts w:ascii="Times New Roman"/>
                        <w:spacing w:val="-5"/>
                        <w:sz w:val="20"/>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9136">
              <wp:simplePos x="0" y="0"/>
              <wp:positionH relativeFrom="page">
                <wp:posOffset>7444485</wp:posOffset>
              </wp:positionH>
              <wp:positionV relativeFrom="page">
                <wp:posOffset>10217969</wp:posOffset>
              </wp:positionV>
              <wp:extent cx="217170" cy="16573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27</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7344" type="#_x0000_t202" id="docshape61"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27</w:t>
                    </w:r>
                    <w:r>
                      <w:rPr>
                        <w:rFonts w:ascii="Times New Roman"/>
                        <w:spacing w:val="-5"/>
                        <w:sz w:val="20"/>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99648">
              <wp:simplePos x="0" y="0"/>
              <wp:positionH relativeFrom="page">
                <wp:posOffset>7444485</wp:posOffset>
              </wp:positionH>
              <wp:positionV relativeFrom="page">
                <wp:posOffset>10217969</wp:posOffset>
              </wp:positionV>
              <wp:extent cx="217170" cy="16573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28</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6832" type="#_x0000_t202" id="docshape62"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28</w:t>
                    </w:r>
                    <w:r>
                      <w:rPr>
                        <w:rFonts w:ascii="Times New Roman"/>
                        <w:spacing w:val="-5"/>
                        <w:sz w:val="20"/>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00160">
              <wp:simplePos x="0" y="0"/>
              <wp:positionH relativeFrom="page">
                <wp:posOffset>7444485</wp:posOffset>
              </wp:positionH>
              <wp:positionV relativeFrom="page">
                <wp:posOffset>10217969</wp:posOffset>
              </wp:positionV>
              <wp:extent cx="217170" cy="165735"/>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29</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6320" type="#_x0000_t202" id="docshape63"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29</w:t>
                    </w:r>
                    <w:r>
                      <w:rPr>
                        <w:rFonts w:ascii="Times New Roman"/>
                        <w:spacing w:val="-5"/>
                        <w:sz w:val="20"/>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00672">
              <wp:simplePos x="0" y="0"/>
              <wp:positionH relativeFrom="page">
                <wp:posOffset>7444485</wp:posOffset>
              </wp:positionH>
              <wp:positionV relativeFrom="page">
                <wp:posOffset>10217969</wp:posOffset>
              </wp:positionV>
              <wp:extent cx="217170" cy="16573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217170" cy="165735"/>
                      </a:xfrm>
                      <a:prstGeom prst="rect">
                        <a:avLst/>
                      </a:prstGeom>
                    </wps:spPr>
                    <wps:txbx>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30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style="position:absolute;margin-left:586.179993pt;margin-top:804.564514pt;width:17.1pt;height:13.05pt;mso-position-horizontal-relative:page;mso-position-vertical-relative:page;z-index:-17015808" type="#_x0000_t202" id="docshape64" filled="false" stroked="false">
              <v:textbox inset="0,0,0,0">
                <w:txbxContent>
                  <w:p>
                    <w:pPr>
                      <w:spacing w:before="10"/>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30</w:t>
                    </w:r>
                    <w:r>
                      <w:rPr>
                        <w:rFonts w:ascii="Times New Roman"/>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85312">
          <wp:simplePos x="0" y="0"/>
          <wp:positionH relativeFrom="page">
            <wp:posOffset>6373186</wp:posOffset>
          </wp:positionH>
          <wp:positionV relativeFrom="page">
            <wp:posOffset>302380</wp:posOffset>
          </wp:positionV>
          <wp:extent cx="640190" cy="360265"/>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640190" cy="360265"/>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86336">
          <wp:simplePos x="0" y="0"/>
          <wp:positionH relativeFrom="page">
            <wp:posOffset>6373186</wp:posOffset>
          </wp:positionH>
          <wp:positionV relativeFrom="page">
            <wp:posOffset>322065</wp:posOffset>
          </wp:positionV>
          <wp:extent cx="640190" cy="360265"/>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640190" cy="360265"/>
                  </a:xfrm>
                  <a:prstGeom prst="rect">
                    <a:avLst/>
                  </a:prstGeom>
                </pic:spPr>
              </pic:pic>
            </a:graphicData>
          </a:graphic>
        </wp:anchor>
      </w:drawing>
    </w:r>
    <w:r>
      <w:rPr>
        <w:sz w:val="20"/>
      </w:rPr>
      <w:drawing>
        <wp:anchor distT="0" distB="0" distL="0" distR="0" allowOverlap="1" layoutInCell="1" locked="0" behindDoc="1" simplePos="0" relativeHeight="486286848">
          <wp:simplePos x="0" y="0"/>
          <wp:positionH relativeFrom="page">
            <wp:posOffset>966469</wp:posOffset>
          </wp:positionH>
          <wp:positionV relativeFrom="page">
            <wp:posOffset>737869</wp:posOffset>
          </wp:positionV>
          <wp:extent cx="6553067" cy="115570"/>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2" cstate="print"/>
                  <a:stretch>
                    <a:fillRect/>
                  </a:stretch>
                </pic:blipFill>
                <pic:spPr>
                  <a:xfrm>
                    <a:off x="0" y="0"/>
                    <a:ext cx="6553067" cy="115570"/>
                  </a:xfrm>
                  <a:prstGeom prst="rect">
                    <a:avLst/>
                  </a:prstGeom>
                </pic:spPr>
              </pic:pic>
            </a:graphicData>
          </a:graphic>
        </wp:anchor>
      </w:drawing>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87872">
          <wp:simplePos x="0" y="0"/>
          <wp:positionH relativeFrom="page">
            <wp:posOffset>6373186</wp:posOffset>
          </wp:positionH>
          <wp:positionV relativeFrom="page">
            <wp:posOffset>322065</wp:posOffset>
          </wp:positionV>
          <wp:extent cx="640190" cy="360265"/>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1" cstate="print"/>
                  <a:stretch>
                    <a:fillRect/>
                  </a:stretch>
                </pic:blipFill>
                <pic:spPr>
                  <a:xfrm>
                    <a:off x="0" y="0"/>
                    <a:ext cx="640190" cy="360265"/>
                  </a:xfrm>
                  <a:prstGeom prst="rect">
                    <a:avLst/>
                  </a:prstGeom>
                </pic:spPr>
              </pic:pic>
            </a:graphicData>
          </a:graphic>
        </wp:anchor>
      </w:drawing>
    </w:r>
    <w:r>
      <w:rPr>
        <w:sz w:val="20"/>
      </w:rPr>
      <w:drawing>
        <wp:anchor distT="0" distB="0" distL="0" distR="0" allowOverlap="1" layoutInCell="1" locked="0" behindDoc="1" simplePos="0" relativeHeight="486288384">
          <wp:simplePos x="0" y="0"/>
          <wp:positionH relativeFrom="page">
            <wp:posOffset>966469</wp:posOffset>
          </wp:positionH>
          <wp:positionV relativeFrom="page">
            <wp:posOffset>737869</wp:posOffset>
          </wp:positionV>
          <wp:extent cx="6553067" cy="115570"/>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2" cstate="print"/>
                  <a:stretch>
                    <a:fillRect/>
                  </a:stretch>
                </pic:blipFill>
                <pic:spPr>
                  <a:xfrm>
                    <a:off x="0" y="0"/>
                    <a:ext cx="6553067" cy="115570"/>
                  </a:xfrm>
                  <a:prstGeom prst="rect">
                    <a:avLst/>
                  </a:prstGeom>
                </pic:spPr>
              </pic:pic>
            </a:graphicData>
          </a:graphic>
        </wp:anchor>
      </w:drawing>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89920">
          <wp:simplePos x="0" y="0"/>
          <wp:positionH relativeFrom="page">
            <wp:posOffset>6373186</wp:posOffset>
          </wp:positionH>
          <wp:positionV relativeFrom="page">
            <wp:posOffset>322065</wp:posOffset>
          </wp:positionV>
          <wp:extent cx="640190" cy="360265"/>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 cstate="print"/>
                  <a:stretch>
                    <a:fillRect/>
                  </a:stretch>
                </pic:blipFill>
                <pic:spPr>
                  <a:xfrm>
                    <a:off x="0" y="0"/>
                    <a:ext cx="640190" cy="360265"/>
                  </a:xfrm>
                  <a:prstGeom prst="rect">
                    <a:avLst/>
                  </a:prstGeom>
                </pic:spPr>
              </pic:pic>
            </a:graphicData>
          </a:graphic>
        </wp:anchor>
      </w:drawing>
    </w:r>
    <w:r>
      <w:rPr>
        <w:sz w:val="20"/>
      </w:rPr>
      <w:drawing>
        <wp:anchor distT="0" distB="0" distL="0" distR="0" allowOverlap="1" layoutInCell="1" locked="0" behindDoc="1" simplePos="0" relativeHeight="486290432">
          <wp:simplePos x="0" y="0"/>
          <wp:positionH relativeFrom="page">
            <wp:posOffset>966469</wp:posOffset>
          </wp:positionH>
          <wp:positionV relativeFrom="page">
            <wp:posOffset>737869</wp:posOffset>
          </wp:positionV>
          <wp:extent cx="6553067" cy="11557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2" cstate="print"/>
                  <a:stretch>
                    <a:fillRect/>
                  </a:stretch>
                </pic:blipFill>
                <pic:spPr>
                  <a:xfrm>
                    <a:off x="0" y="0"/>
                    <a:ext cx="6553067" cy="115570"/>
                  </a:xfrm>
                  <a:prstGeom prst="rect">
                    <a:avLst/>
                  </a:prstGeom>
                </pic:spPr>
              </pic:pic>
            </a:graphicData>
          </a:graphic>
        </wp:anchor>
      </w:drawing>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91456">
          <wp:simplePos x="0" y="0"/>
          <wp:positionH relativeFrom="page">
            <wp:posOffset>6373186</wp:posOffset>
          </wp:positionH>
          <wp:positionV relativeFrom="page">
            <wp:posOffset>322065</wp:posOffset>
          </wp:positionV>
          <wp:extent cx="640190" cy="360265"/>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1" cstate="print"/>
                  <a:stretch>
                    <a:fillRect/>
                  </a:stretch>
                </pic:blipFill>
                <pic:spPr>
                  <a:xfrm>
                    <a:off x="0" y="0"/>
                    <a:ext cx="640190" cy="360265"/>
                  </a:xfrm>
                  <a:prstGeom prst="rect">
                    <a:avLst/>
                  </a:prstGeom>
                </pic:spPr>
              </pic:pic>
            </a:graphicData>
          </a:graphic>
        </wp:anchor>
      </w:drawing>
    </w:r>
    <w:r>
      <w:rPr>
        <w:sz w:val="20"/>
      </w:rPr>
      <w:drawing>
        <wp:anchor distT="0" distB="0" distL="0" distR="0" allowOverlap="1" layoutInCell="1" locked="0" behindDoc="1" simplePos="0" relativeHeight="486291968">
          <wp:simplePos x="0" y="0"/>
          <wp:positionH relativeFrom="page">
            <wp:posOffset>966469</wp:posOffset>
          </wp:positionH>
          <wp:positionV relativeFrom="page">
            <wp:posOffset>737869</wp:posOffset>
          </wp:positionV>
          <wp:extent cx="6553067" cy="115570"/>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2" cstate="print"/>
                  <a:stretch>
                    <a:fillRect/>
                  </a:stretch>
                </pic:blipFill>
                <pic:spPr>
                  <a:xfrm>
                    <a:off x="0" y="0"/>
                    <a:ext cx="6553067" cy="115570"/>
                  </a:xfrm>
                  <a:prstGeom prst="rect">
                    <a:avLst/>
                  </a:prstGeom>
                </pic:spPr>
              </pic:pic>
            </a:graphicData>
          </a:graphic>
        </wp:anchor>
      </w:drawing>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293504">
          <wp:simplePos x="0" y="0"/>
          <wp:positionH relativeFrom="page">
            <wp:posOffset>6373186</wp:posOffset>
          </wp:positionH>
          <wp:positionV relativeFrom="page">
            <wp:posOffset>322065</wp:posOffset>
          </wp:positionV>
          <wp:extent cx="640190" cy="360265"/>
          <wp:effectExtent l="0" t="0" r="0" b="0"/>
          <wp:wrapNone/>
          <wp:docPr id="93" name="Image 93"/>
          <wp:cNvGraphicFramePr>
            <a:graphicFrameLocks/>
          </wp:cNvGraphicFramePr>
          <a:graphic>
            <a:graphicData uri="http://schemas.openxmlformats.org/drawingml/2006/picture">
              <pic:pic>
                <pic:nvPicPr>
                  <pic:cNvPr id="93" name="Image 93"/>
                  <pic:cNvPicPr/>
                </pic:nvPicPr>
                <pic:blipFill>
                  <a:blip r:embed="rId1" cstate="print"/>
                  <a:stretch>
                    <a:fillRect/>
                  </a:stretch>
                </pic:blipFill>
                <pic:spPr>
                  <a:xfrm>
                    <a:off x="0" y="0"/>
                    <a:ext cx="640190" cy="360265"/>
                  </a:xfrm>
                  <a:prstGeom prst="rect">
                    <a:avLst/>
                  </a:prstGeom>
                </pic:spPr>
              </pic:pic>
            </a:graphicData>
          </a:graphic>
        </wp:anchor>
      </w:drawing>
    </w:r>
    <w:r>
      <w:rPr>
        <w:sz w:val="20"/>
      </w:rPr>
      <w:drawing>
        <wp:anchor distT="0" distB="0" distL="0" distR="0" allowOverlap="1" layoutInCell="1" locked="0" behindDoc="1" simplePos="0" relativeHeight="486294016">
          <wp:simplePos x="0" y="0"/>
          <wp:positionH relativeFrom="page">
            <wp:posOffset>966469</wp:posOffset>
          </wp:positionH>
          <wp:positionV relativeFrom="page">
            <wp:posOffset>737869</wp:posOffset>
          </wp:positionV>
          <wp:extent cx="6553067" cy="115570"/>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2" cstate="print"/>
                  <a:stretch>
                    <a:fillRect/>
                  </a:stretch>
                </pic:blipFill>
                <pic:spPr>
                  <a:xfrm>
                    <a:off x="0" y="0"/>
                    <a:ext cx="6553067" cy="115570"/>
                  </a:xfrm>
                  <a:prstGeom prst="rect">
                    <a:avLst/>
                  </a:prstGeom>
                </pic:spPr>
              </pic:pic>
            </a:graphicData>
          </a:graphic>
        </wp:anchor>
      </w:drawing>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0"/>
      <w:numFmt w:val="bullet"/>
      <w:lvlText w:val="o"/>
      <w:lvlJc w:val="left"/>
      <w:pPr>
        <w:ind w:left="885" w:hanging="360"/>
      </w:pPr>
      <w:rPr>
        <w:rFonts w:hint="default" w:ascii="Courier New" w:hAnsi="Courier New" w:eastAsia="Courier New" w:cs="Courier New"/>
        <w:b w:val="0"/>
        <w:bCs w:val="0"/>
        <w:i w:val="0"/>
        <w:iCs w:val="0"/>
        <w:spacing w:val="0"/>
        <w:w w:val="100"/>
        <w:sz w:val="24"/>
        <w:szCs w:val="24"/>
        <w:lang w:val="es-ES" w:eastAsia="en-US" w:bidi="ar-SA"/>
      </w:rPr>
    </w:lvl>
    <w:lvl w:ilvl="1">
      <w:start w:val="0"/>
      <w:numFmt w:val="bullet"/>
      <w:lvlText w:val="•"/>
      <w:lvlJc w:val="left"/>
      <w:pPr>
        <w:ind w:left="1901" w:hanging="360"/>
      </w:pPr>
      <w:rPr>
        <w:rFonts w:hint="default"/>
        <w:lang w:val="es-ES" w:eastAsia="en-US" w:bidi="ar-SA"/>
      </w:rPr>
    </w:lvl>
    <w:lvl w:ilvl="2">
      <w:start w:val="0"/>
      <w:numFmt w:val="bullet"/>
      <w:lvlText w:val="•"/>
      <w:lvlJc w:val="left"/>
      <w:pPr>
        <w:ind w:left="2923" w:hanging="360"/>
      </w:pPr>
      <w:rPr>
        <w:rFonts w:hint="default"/>
        <w:lang w:val="es-ES" w:eastAsia="en-US" w:bidi="ar-SA"/>
      </w:rPr>
    </w:lvl>
    <w:lvl w:ilvl="3">
      <w:start w:val="0"/>
      <w:numFmt w:val="bullet"/>
      <w:lvlText w:val="•"/>
      <w:lvlJc w:val="left"/>
      <w:pPr>
        <w:ind w:left="3944" w:hanging="360"/>
      </w:pPr>
      <w:rPr>
        <w:rFonts w:hint="default"/>
        <w:lang w:val="es-ES" w:eastAsia="en-US" w:bidi="ar-SA"/>
      </w:rPr>
    </w:lvl>
    <w:lvl w:ilvl="4">
      <w:start w:val="0"/>
      <w:numFmt w:val="bullet"/>
      <w:lvlText w:val="•"/>
      <w:lvlJc w:val="left"/>
      <w:pPr>
        <w:ind w:left="4966" w:hanging="360"/>
      </w:pPr>
      <w:rPr>
        <w:rFonts w:hint="default"/>
        <w:lang w:val="es-ES" w:eastAsia="en-US" w:bidi="ar-SA"/>
      </w:rPr>
    </w:lvl>
    <w:lvl w:ilvl="5">
      <w:start w:val="0"/>
      <w:numFmt w:val="bullet"/>
      <w:lvlText w:val="•"/>
      <w:lvlJc w:val="left"/>
      <w:pPr>
        <w:ind w:left="5988" w:hanging="360"/>
      </w:pPr>
      <w:rPr>
        <w:rFonts w:hint="default"/>
        <w:lang w:val="es-ES" w:eastAsia="en-US" w:bidi="ar-SA"/>
      </w:rPr>
    </w:lvl>
    <w:lvl w:ilvl="6">
      <w:start w:val="0"/>
      <w:numFmt w:val="bullet"/>
      <w:lvlText w:val="•"/>
      <w:lvlJc w:val="left"/>
      <w:pPr>
        <w:ind w:left="7009" w:hanging="360"/>
      </w:pPr>
      <w:rPr>
        <w:rFonts w:hint="default"/>
        <w:lang w:val="es-ES" w:eastAsia="en-US" w:bidi="ar-SA"/>
      </w:rPr>
    </w:lvl>
    <w:lvl w:ilvl="7">
      <w:start w:val="0"/>
      <w:numFmt w:val="bullet"/>
      <w:lvlText w:val="•"/>
      <w:lvlJc w:val="left"/>
      <w:pPr>
        <w:ind w:left="8031" w:hanging="360"/>
      </w:pPr>
      <w:rPr>
        <w:rFonts w:hint="default"/>
        <w:lang w:val="es-ES" w:eastAsia="en-US" w:bidi="ar-SA"/>
      </w:rPr>
    </w:lvl>
    <w:lvl w:ilvl="8">
      <w:start w:val="0"/>
      <w:numFmt w:val="bullet"/>
      <w:lvlText w:val="•"/>
      <w:lvlJc w:val="left"/>
      <w:pPr>
        <w:ind w:left="9052" w:hanging="360"/>
      </w:pPr>
      <w:rPr>
        <w:rFonts w:hint="default"/>
        <w:lang w:val="es-ES" w:eastAsia="en-US" w:bidi="ar-SA"/>
      </w:rPr>
    </w:lvl>
  </w:abstractNum>
  <w:abstractNum w:abstractNumId="11">
    <w:multiLevelType w:val="hybridMultilevel"/>
    <w:lvl w:ilvl="0">
      <w:start w:val="0"/>
      <w:numFmt w:val="bullet"/>
      <w:lvlText w:val=""/>
      <w:lvlJc w:val="left"/>
      <w:pPr>
        <w:ind w:left="885"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901" w:hanging="360"/>
      </w:pPr>
      <w:rPr>
        <w:rFonts w:hint="default"/>
        <w:lang w:val="es-ES" w:eastAsia="en-US" w:bidi="ar-SA"/>
      </w:rPr>
    </w:lvl>
    <w:lvl w:ilvl="2">
      <w:start w:val="0"/>
      <w:numFmt w:val="bullet"/>
      <w:lvlText w:val="•"/>
      <w:lvlJc w:val="left"/>
      <w:pPr>
        <w:ind w:left="2923" w:hanging="360"/>
      </w:pPr>
      <w:rPr>
        <w:rFonts w:hint="default"/>
        <w:lang w:val="es-ES" w:eastAsia="en-US" w:bidi="ar-SA"/>
      </w:rPr>
    </w:lvl>
    <w:lvl w:ilvl="3">
      <w:start w:val="0"/>
      <w:numFmt w:val="bullet"/>
      <w:lvlText w:val="•"/>
      <w:lvlJc w:val="left"/>
      <w:pPr>
        <w:ind w:left="3944" w:hanging="360"/>
      </w:pPr>
      <w:rPr>
        <w:rFonts w:hint="default"/>
        <w:lang w:val="es-ES" w:eastAsia="en-US" w:bidi="ar-SA"/>
      </w:rPr>
    </w:lvl>
    <w:lvl w:ilvl="4">
      <w:start w:val="0"/>
      <w:numFmt w:val="bullet"/>
      <w:lvlText w:val="•"/>
      <w:lvlJc w:val="left"/>
      <w:pPr>
        <w:ind w:left="4966" w:hanging="360"/>
      </w:pPr>
      <w:rPr>
        <w:rFonts w:hint="default"/>
        <w:lang w:val="es-ES" w:eastAsia="en-US" w:bidi="ar-SA"/>
      </w:rPr>
    </w:lvl>
    <w:lvl w:ilvl="5">
      <w:start w:val="0"/>
      <w:numFmt w:val="bullet"/>
      <w:lvlText w:val="•"/>
      <w:lvlJc w:val="left"/>
      <w:pPr>
        <w:ind w:left="5988" w:hanging="360"/>
      </w:pPr>
      <w:rPr>
        <w:rFonts w:hint="default"/>
        <w:lang w:val="es-ES" w:eastAsia="en-US" w:bidi="ar-SA"/>
      </w:rPr>
    </w:lvl>
    <w:lvl w:ilvl="6">
      <w:start w:val="0"/>
      <w:numFmt w:val="bullet"/>
      <w:lvlText w:val="•"/>
      <w:lvlJc w:val="left"/>
      <w:pPr>
        <w:ind w:left="7009" w:hanging="360"/>
      </w:pPr>
      <w:rPr>
        <w:rFonts w:hint="default"/>
        <w:lang w:val="es-ES" w:eastAsia="en-US" w:bidi="ar-SA"/>
      </w:rPr>
    </w:lvl>
    <w:lvl w:ilvl="7">
      <w:start w:val="0"/>
      <w:numFmt w:val="bullet"/>
      <w:lvlText w:val="•"/>
      <w:lvlJc w:val="left"/>
      <w:pPr>
        <w:ind w:left="8031" w:hanging="360"/>
      </w:pPr>
      <w:rPr>
        <w:rFonts w:hint="default"/>
        <w:lang w:val="es-ES" w:eastAsia="en-US" w:bidi="ar-SA"/>
      </w:rPr>
    </w:lvl>
    <w:lvl w:ilvl="8">
      <w:start w:val="0"/>
      <w:numFmt w:val="bullet"/>
      <w:lvlText w:val="•"/>
      <w:lvlJc w:val="left"/>
      <w:pPr>
        <w:ind w:left="9052" w:hanging="360"/>
      </w:pPr>
      <w:rPr>
        <w:rFonts w:hint="default"/>
        <w:lang w:val="es-ES" w:eastAsia="en-US" w:bidi="ar-SA"/>
      </w:rPr>
    </w:lvl>
  </w:abstractNum>
  <w:abstractNum w:abstractNumId="10">
    <w:multiLevelType w:val="hybridMultilevel"/>
    <w:lvl w:ilvl="0">
      <w:start w:val="1"/>
      <w:numFmt w:val="decimal"/>
      <w:lvlText w:val="%1-"/>
      <w:lvlJc w:val="left"/>
      <w:pPr>
        <w:ind w:left="380" w:hanging="216"/>
        <w:jc w:val="left"/>
      </w:pPr>
      <w:rPr>
        <w:rFonts w:hint="default" w:ascii="Arial" w:hAnsi="Arial" w:eastAsia="Arial" w:cs="Arial"/>
        <w:b/>
        <w:bCs/>
        <w:i w:val="0"/>
        <w:iCs w:val="0"/>
        <w:spacing w:val="-1"/>
        <w:w w:val="99"/>
        <w:sz w:val="22"/>
        <w:szCs w:val="22"/>
        <w:lang w:val="es-ES" w:eastAsia="en-US" w:bidi="ar-SA"/>
      </w:rPr>
    </w:lvl>
    <w:lvl w:ilvl="1">
      <w:start w:val="0"/>
      <w:numFmt w:val="bullet"/>
      <w:lvlText w:val=""/>
      <w:lvlJc w:val="left"/>
      <w:pPr>
        <w:ind w:left="873" w:hanging="360"/>
      </w:pPr>
      <w:rPr>
        <w:rFonts w:hint="default" w:ascii="Symbol" w:hAnsi="Symbol" w:eastAsia="Symbol" w:cs="Symbol"/>
        <w:b w:val="0"/>
        <w:bCs w:val="0"/>
        <w:i w:val="0"/>
        <w:iCs w:val="0"/>
        <w:spacing w:val="0"/>
        <w:w w:val="100"/>
        <w:sz w:val="24"/>
        <w:szCs w:val="24"/>
        <w:lang w:val="es-ES" w:eastAsia="en-US" w:bidi="ar-SA"/>
      </w:rPr>
    </w:lvl>
    <w:lvl w:ilvl="2">
      <w:start w:val="0"/>
      <w:numFmt w:val="bullet"/>
      <w:lvlText w:val="•"/>
      <w:lvlJc w:val="left"/>
      <w:pPr>
        <w:ind w:left="2015" w:hanging="360"/>
      </w:pPr>
      <w:rPr>
        <w:rFonts w:hint="default"/>
        <w:lang w:val="es-ES" w:eastAsia="en-US" w:bidi="ar-SA"/>
      </w:rPr>
    </w:lvl>
    <w:lvl w:ilvl="3">
      <w:start w:val="0"/>
      <w:numFmt w:val="bullet"/>
      <w:lvlText w:val="•"/>
      <w:lvlJc w:val="left"/>
      <w:pPr>
        <w:ind w:left="3150" w:hanging="360"/>
      </w:pPr>
      <w:rPr>
        <w:rFonts w:hint="default"/>
        <w:lang w:val="es-ES" w:eastAsia="en-US" w:bidi="ar-SA"/>
      </w:rPr>
    </w:lvl>
    <w:lvl w:ilvl="4">
      <w:start w:val="0"/>
      <w:numFmt w:val="bullet"/>
      <w:lvlText w:val="•"/>
      <w:lvlJc w:val="left"/>
      <w:pPr>
        <w:ind w:left="4285" w:hanging="360"/>
      </w:pPr>
      <w:rPr>
        <w:rFonts w:hint="default"/>
        <w:lang w:val="es-ES" w:eastAsia="en-US" w:bidi="ar-SA"/>
      </w:rPr>
    </w:lvl>
    <w:lvl w:ilvl="5">
      <w:start w:val="0"/>
      <w:numFmt w:val="bullet"/>
      <w:lvlText w:val="•"/>
      <w:lvlJc w:val="left"/>
      <w:pPr>
        <w:ind w:left="5420" w:hanging="360"/>
      </w:pPr>
      <w:rPr>
        <w:rFonts w:hint="default"/>
        <w:lang w:val="es-ES" w:eastAsia="en-US" w:bidi="ar-SA"/>
      </w:rPr>
    </w:lvl>
    <w:lvl w:ilvl="6">
      <w:start w:val="0"/>
      <w:numFmt w:val="bullet"/>
      <w:lvlText w:val="•"/>
      <w:lvlJc w:val="left"/>
      <w:pPr>
        <w:ind w:left="6555" w:hanging="360"/>
      </w:pPr>
      <w:rPr>
        <w:rFonts w:hint="default"/>
        <w:lang w:val="es-ES" w:eastAsia="en-US" w:bidi="ar-SA"/>
      </w:rPr>
    </w:lvl>
    <w:lvl w:ilvl="7">
      <w:start w:val="0"/>
      <w:numFmt w:val="bullet"/>
      <w:lvlText w:val="•"/>
      <w:lvlJc w:val="left"/>
      <w:pPr>
        <w:ind w:left="7690" w:hanging="360"/>
      </w:pPr>
      <w:rPr>
        <w:rFonts w:hint="default"/>
        <w:lang w:val="es-ES" w:eastAsia="en-US" w:bidi="ar-SA"/>
      </w:rPr>
    </w:lvl>
    <w:lvl w:ilvl="8">
      <w:start w:val="0"/>
      <w:numFmt w:val="bullet"/>
      <w:lvlText w:val="•"/>
      <w:lvlJc w:val="left"/>
      <w:pPr>
        <w:ind w:left="8825" w:hanging="360"/>
      </w:pPr>
      <w:rPr>
        <w:rFonts w:hint="default"/>
        <w:lang w:val="es-ES" w:eastAsia="en-US" w:bidi="ar-SA"/>
      </w:rPr>
    </w:lvl>
  </w:abstractNum>
  <w:abstractNum w:abstractNumId="9">
    <w:multiLevelType w:val="hybridMultilevel"/>
    <w:lvl w:ilvl="0">
      <w:start w:val="0"/>
      <w:numFmt w:val="bullet"/>
      <w:lvlText w:val="•"/>
      <w:lvlJc w:val="left"/>
      <w:pPr>
        <w:ind w:left="2325" w:hanging="459"/>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3197" w:hanging="459"/>
      </w:pPr>
      <w:rPr>
        <w:rFonts w:hint="default"/>
        <w:lang w:val="es-ES" w:eastAsia="en-US" w:bidi="ar-SA"/>
      </w:rPr>
    </w:lvl>
    <w:lvl w:ilvl="2">
      <w:start w:val="0"/>
      <w:numFmt w:val="bullet"/>
      <w:lvlText w:val="•"/>
      <w:lvlJc w:val="left"/>
      <w:pPr>
        <w:ind w:left="4075" w:hanging="459"/>
      </w:pPr>
      <w:rPr>
        <w:rFonts w:hint="default"/>
        <w:lang w:val="es-ES" w:eastAsia="en-US" w:bidi="ar-SA"/>
      </w:rPr>
    </w:lvl>
    <w:lvl w:ilvl="3">
      <w:start w:val="0"/>
      <w:numFmt w:val="bullet"/>
      <w:lvlText w:val="•"/>
      <w:lvlJc w:val="left"/>
      <w:pPr>
        <w:ind w:left="4952" w:hanging="459"/>
      </w:pPr>
      <w:rPr>
        <w:rFonts w:hint="default"/>
        <w:lang w:val="es-ES" w:eastAsia="en-US" w:bidi="ar-SA"/>
      </w:rPr>
    </w:lvl>
    <w:lvl w:ilvl="4">
      <w:start w:val="0"/>
      <w:numFmt w:val="bullet"/>
      <w:lvlText w:val="•"/>
      <w:lvlJc w:val="left"/>
      <w:pPr>
        <w:ind w:left="5830" w:hanging="459"/>
      </w:pPr>
      <w:rPr>
        <w:rFonts w:hint="default"/>
        <w:lang w:val="es-ES" w:eastAsia="en-US" w:bidi="ar-SA"/>
      </w:rPr>
    </w:lvl>
    <w:lvl w:ilvl="5">
      <w:start w:val="0"/>
      <w:numFmt w:val="bullet"/>
      <w:lvlText w:val="•"/>
      <w:lvlJc w:val="left"/>
      <w:pPr>
        <w:ind w:left="6708" w:hanging="459"/>
      </w:pPr>
      <w:rPr>
        <w:rFonts w:hint="default"/>
        <w:lang w:val="es-ES" w:eastAsia="en-US" w:bidi="ar-SA"/>
      </w:rPr>
    </w:lvl>
    <w:lvl w:ilvl="6">
      <w:start w:val="0"/>
      <w:numFmt w:val="bullet"/>
      <w:lvlText w:val="•"/>
      <w:lvlJc w:val="left"/>
      <w:pPr>
        <w:ind w:left="7585" w:hanging="459"/>
      </w:pPr>
      <w:rPr>
        <w:rFonts w:hint="default"/>
        <w:lang w:val="es-ES" w:eastAsia="en-US" w:bidi="ar-SA"/>
      </w:rPr>
    </w:lvl>
    <w:lvl w:ilvl="7">
      <w:start w:val="0"/>
      <w:numFmt w:val="bullet"/>
      <w:lvlText w:val="•"/>
      <w:lvlJc w:val="left"/>
      <w:pPr>
        <w:ind w:left="8463" w:hanging="459"/>
      </w:pPr>
      <w:rPr>
        <w:rFonts w:hint="default"/>
        <w:lang w:val="es-ES" w:eastAsia="en-US" w:bidi="ar-SA"/>
      </w:rPr>
    </w:lvl>
    <w:lvl w:ilvl="8">
      <w:start w:val="0"/>
      <w:numFmt w:val="bullet"/>
      <w:lvlText w:val="•"/>
      <w:lvlJc w:val="left"/>
      <w:pPr>
        <w:ind w:left="9340" w:hanging="459"/>
      </w:pPr>
      <w:rPr>
        <w:rFonts w:hint="default"/>
        <w:lang w:val="es-ES" w:eastAsia="en-US" w:bidi="ar-SA"/>
      </w:rPr>
    </w:lvl>
  </w:abstractNum>
  <w:abstractNum w:abstractNumId="8">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7">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6">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5">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4">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3">
    <w:multiLevelType w:val="hybridMultilevel"/>
    <w:lvl w:ilvl="0">
      <w:start w:val="1"/>
      <w:numFmt w:val="lowerLetter"/>
      <w:lvlText w:val="%1."/>
      <w:lvlJc w:val="left"/>
      <w:pPr>
        <w:ind w:left="426"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487" w:hanging="180"/>
      </w:pPr>
      <w:rPr>
        <w:rFonts w:hint="default"/>
        <w:lang w:val="es-ES" w:eastAsia="en-US" w:bidi="ar-SA"/>
      </w:rPr>
    </w:lvl>
    <w:lvl w:ilvl="2">
      <w:start w:val="0"/>
      <w:numFmt w:val="bullet"/>
      <w:lvlText w:val="•"/>
      <w:lvlJc w:val="left"/>
      <w:pPr>
        <w:ind w:left="2555" w:hanging="180"/>
      </w:pPr>
      <w:rPr>
        <w:rFonts w:hint="default"/>
        <w:lang w:val="es-ES" w:eastAsia="en-US" w:bidi="ar-SA"/>
      </w:rPr>
    </w:lvl>
    <w:lvl w:ilvl="3">
      <w:start w:val="0"/>
      <w:numFmt w:val="bullet"/>
      <w:lvlText w:val="•"/>
      <w:lvlJc w:val="left"/>
      <w:pPr>
        <w:ind w:left="3622" w:hanging="180"/>
      </w:pPr>
      <w:rPr>
        <w:rFonts w:hint="default"/>
        <w:lang w:val="es-ES" w:eastAsia="en-US" w:bidi="ar-SA"/>
      </w:rPr>
    </w:lvl>
    <w:lvl w:ilvl="4">
      <w:start w:val="0"/>
      <w:numFmt w:val="bullet"/>
      <w:lvlText w:val="•"/>
      <w:lvlJc w:val="left"/>
      <w:pPr>
        <w:ind w:left="4690" w:hanging="180"/>
      </w:pPr>
      <w:rPr>
        <w:rFonts w:hint="default"/>
        <w:lang w:val="es-ES" w:eastAsia="en-US" w:bidi="ar-SA"/>
      </w:rPr>
    </w:lvl>
    <w:lvl w:ilvl="5">
      <w:start w:val="0"/>
      <w:numFmt w:val="bullet"/>
      <w:lvlText w:val="•"/>
      <w:lvlJc w:val="left"/>
      <w:pPr>
        <w:ind w:left="5758" w:hanging="180"/>
      </w:pPr>
      <w:rPr>
        <w:rFonts w:hint="default"/>
        <w:lang w:val="es-ES" w:eastAsia="en-US" w:bidi="ar-SA"/>
      </w:rPr>
    </w:lvl>
    <w:lvl w:ilvl="6">
      <w:start w:val="0"/>
      <w:numFmt w:val="bullet"/>
      <w:lvlText w:val="•"/>
      <w:lvlJc w:val="left"/>
      <w:pPr>
        <w:ind w:left="6825" w:hanging="180"/>
      </w:pPr>
      <w:rPr>
        <w:rFonts w:hint="default"/>
        <w:lang w:val="es-ES" w:eastAsia="en-US" w:bidi="ar-SA"/>
      </w:rPr>
    </w:lvl>
    <w:lvl w:ilvl="7">
      <w:start w:val="0"/>
      <w:numFmt w:val="bullet"/>
      <w:lvlText w:val="•"/>
      <w:lvlJc w:val="left"/>
      <w:pPr>
        <w:ind w:left="7893" w:hanging="180"/>
      </w:pPr>
      <w:rPr>
        <w:rFonts w:hint="default"/>
        <w:lang w:val="es-ES" w:eastAsia="en-US" w:bidi="ar-SA"/>
      </w:rPr>
    </w:lvl>
    <w:lvl w:ilvl="8">
      <w:start w:val="0"/>
      <w:numFmt w:val="bullet"/>
      <w:lvlText w:val="•"/>
      <w:lvlJc w:val="left"/>
      <w:pPr>
        <w:ind w:left="8960" w:hanging="180"/>
      </w:pPr>
      <w:rPr>
        <w:rFonts w:hint="default"/>
        <w:lang w:val="es-ES" w:eastAsia="en-US" w:bidi="ar-SA"/>
      </w:rPr>
    </w:lvl>
  </w:abstractNum>
  <w:abstractNum w:abstractNumId="2">
    <w:multiLevelType w:val="hybridMultilevel"/>
    <w:lvl w:ilvl="0">
      <w:start w:val="1"/>
      <w:numFmt w:val="decimal"/>
      <w:lvlText w:val="%1."/>
      <w:lvlJc w:val="left"/>
      <w:pPr>
        <w:ind w:left="885" w:hanging="360"/>
        <w:jc w:val="left"/>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901" w:hanging="360"/>
      </w:pPr>
      <w:rPr>
        <w:rFonts w:hint="default"/>
        <w:lang w:val="es-ES" w:eastAsia="en-US" w:bidi="ar-SA"/>
      </w:rPr>
    </w:lvl>
    <w:lvl w:ilvl="2">
      <w:start w:val="0"/>
      <w:numFmt w:val="bullet"/>
      <w:lvlText w:val="•"/>
      <w:lvlJc w:val="left"/>
      <w:pPr>
        <w:ind w:left="2923" w:hanging="360"/>
      </w:pPr>
      <w:rPr>
        <w:rFonts w:hint="default"/>
        <w:lang w:val="es-ES" w:eastAsia="en-US" w:bidi="ar-SA"/>
      </w:rPr>
    </w:lvl>
    <w:lvl w:ilvl="3">
      <w:start w:val="0"/>
      <w:numFmt w:val="bullet"/>
      <w:lvlText w:val="•"/>
      <w:lvlJc w:val="left"/>
      <w:pPr>
        <w:ind w:left="3944" w:hanging="360"/>
      </w:pPr>
      <w:rPr>
        <w:rFonts w:hint="default"/>
        <w:lang w:val="es-ES" w:eastAsia="en-US" w:bidi="ar-SA"/>
      </w:rPr>
    </w:lvl>
    <w:lvl w:ilvl="4">
      <w:start w:val="0"/>
      <w:numFmt w:val="bullet"/>
      <w:lvlText w:val="•"/>
      <w:lvlJc w:val="left"/>
      <w:pPr>
        <w:ind w:left="4966" w:hanging="360"/>
      </w:pPr>
      <w:rPr>
        <w:rFonts w:hint="default"/>
        <w:lang w:val="es-ES" w:eastAsia="en-US" w:bidi="ar-SA"/>
      </w:rPr>
    </w:lvl>
    <w:lvl w:ilvl="5">
      <w:start w:val="0"/>
      <w:numFmt w:val="bullet"/>
      <w:lvlText w:val="•"/>
      <w:lvlJc w:val="left"/>
      <w:pPr>
        <w:ind w:left="5988" w:hanging="360"/>
      </w:pPr>
      <w:rPr>
        <w:rFonts w:hint="default"/>
        <w:lang w:val="es-ES" w:eastAsia="en-US" w:bidi="ar-SA"/>
      </w:rPr>
    </w:lvl>
    <w:lvl w:ilvl="6">
      <w:start w:val="0"/>
      <w:numFmt w:val="bullet"/>
      <w:lvlText w:val="•"/>
      <w:lvlJc w:val="left"/>
      <w:pPr>
        <w:ind w:left="7009" w:hanging="360"/>
      </w:pPr>
      <w:rPr>
        <w:rFonts w:hint="default"/>
        <w:lang w:val="es-ES" w:eastAsia="en-US" w:bidi="ar-SA"/>
      </w:rPr>
    </w:lvl>
    <w:lvl w:ilvl="7">
      <w:start w:val="0"/>
      <w:numFmt w:val="bullet"/>
      <w:lvlText w:val="•"/>
      <w:lvlJc w:val="left"/>
      <w:pPr>
        <w:ind w:left="8031" w:hanging="360"/>
      </w:pPr>
      <w:rPr>
        <w:rFonts w:hint="default"/>
        <w:lang w:val="es-ES" w:eastAsia="en-US" w:bidi="ar-SA"/>
      </w:rPr>
    </w:lvl>
    <w:lvl w:ilvl="8">
      <w:start w:val="0"/>
      <w:numFmt w:val="bullet"/>
      <w:lvlText w:val="•"/>
      <w:lvlJc w:val="left"/>
      <w:pPr>
        <w:ind w:left="9052" w:hanging="360"/>
      </w:pPr>
      <w:rPr>
        <w:rFonts w:hint="default"/>
        <w:lang w:val="es-ES" w:eastAsia="en-US" w:bidi="ar-SA"/>
      </w:rPr>
    </w:lvl>
  </w:abstractNum>
  <w:abstractNum w:abstractNumId="1">
    <w:multiLevelType w:val="hybridMultilevel"/>
    <w:lvl w:ilvl="0">
      <w:start w:val="1"/>
      <w:numFmt w:val="decimal"/>
      <w:lvlText w:val="%1."/>
      <w:lvlJc w:val="left"/>
      <w:pPr>
        <w:ind w:left="840" w:hanging="301"/>
        <w:jc w:val="right"/>
      </w:pPr>
      <w:rPr>
        <w:rFonts w:hint="default"/>
        <w:spacing w:val="-1"/>
        <w:w w:val="93"/>
        <w:lang w:val="es-ES" w:eastAsia="en-US" w:bidi="ar-SA"/>
      </w:rPr>
    </w:lvl>
    <w:lvl w:ilvl="1">
      <w:start w:val="1"/>
      <w:numFmt w:val="decimal"/>
      <w:lvlText w:val="%2."/>
      <w:lvlJc w:val="left"/>
      <w:pPr>
        <w:ind w:left="1605" w:hanging="588"/>
        <w:jc w:val="left"/>
      </w:pPr>
      <w:rPr>
        <w:rFonts w:hint="default" w:ascii="Arial" w:hAnsi="Arial" w:eastAsia="Arial" w:cs="Arial"/>
        <w:b w:val="0"/>
        <w:bCs w:val="0"/>
        <w:i w:val="0"/>
        <w:iCs w:val="0"/>
        <w:spacing w:val="0"/>
        <w:w w:val="100"/>
        <w:sz w:val="24"/>
        <w:szCs w:val="24"/>
        <w:lang w:val="es-ES" w:eastAsia="en-US" w:bidi="ar-SA"/>
      </w:rPr>
    </w:lvl>
    <w:lvl w:ilvl="2">
      <w:start w:val="0"/>
      <w:numFmt w:val="bullet"/>
      <w:lvlText w:val="•"/>
      <w:lvlJc w:val="left"/>
      <w:pPr>
        <w:ind w:left="1017" w:hanging="154"/>
      </w:pPr>
      <w:rPr>
        <w:rFonts w:hint="default" w:ascii="Arial" w:hAnsi="Arial" w:eastAsia="Arial" w:cs="Arial"/>
        <w:b w:val="0"/>
        <w:bCs w:val="0"/>
        <w:i w:val="0"/>
        <w:iCs w:val="0"/>
        <w:spacing w:val="0"/>
        <w:w w:val="100"/>
        <w:sz w:val="24"/>
        <w:szCs w:val="24"/>
        <w:lang w:val="es-ES" w:eastAsia="en-US" w:bidi="ar-SA"/>
      </w:rPr>
    </w:lvl>
    <w:lvl w:ilvl="3">
      <w:start w:val="0"/>
      <w:numFmt w:val="bullet"/>
      <w:lvlText w:val="•"/>
      <w:lvlJc w:val="left"/>
      <w:pPr>
        <w:ind w:left="1600" w:hanging="154"/>
      </w:pPr>
      <w:rPr>
        <w:rFonts w:hint="default"/>
        <w:lang w:val="es-ES" w:eastAsia="en-US" w:bidi="ar-SA"/>
      </w:rPr>
    </w:lvl>
    <w:lvl w:ilvl="4">
      <w:start w:val="0"/>
      <w:numFmt w:val="bullet"/>
      <w:lvlText w:val="•"/>
      <w:lvlJc w:val="left"/>
      <w:pPr>
        <w:ind w:left="2956" w:hanging="154"/>
      </w:pPr>
      <w:rPr>
        <w:rFonts w:hint="default"/>
        <w:lang w:val="es-ES" w:eastAsia="en-US" w:bidi="ar-SA"/>
      </w:rPr>
    </w:lvl>
    <w:lvl w:ilvl="5">
      <w:start w:val="0"/>
      <w:numFmt w:val="bullet"/>
      <w:lvlText w:val="•"/>
      <w:lvlJc w:val="left"/>
      <w:pPr>
        <w:ind w:left="4313" w:hanging="154"/>
      </w:pPr>
      <w:rPr>
        <w:rFonts w:hint="default"/>
        <w:lang w:val="es-ES" w:eastAsia="en-US" w:bidi="ar-SA"/>
      </w:rPr>
    </w:lvl>
    <w:lvl w:ilvl="6">
      <w:start w:val="0"/>
      <w:numFmt w:val="bullet"/>
      <w:lvlText w:val="•"/>
      <w:lvlJc w:val="left"/>
      <w:pPr>
        <w:ind w:left="5669" w:hanging="154"/>
      </w:pPr>
      <w:rPr>
        <w:rFonts w:hint="default"/>
        <w:lang w:val="es-ES" w:eastAsia="en-US" w:bidi="ar-SA"/>
      </w:rPr>
    </w:lvl>
    <w:lvl w:ilvl="7">
      <w:start w:val="0"/>
      <w:numFmt w:val="bullet"/>
      <w:lvlText w:val="•"/>
      <w:lvlJc w:val="left"/>
      <w:pPr>
        <w:ind w:left="7026" w:hanging="154"/>
      </w:pPr>
      <w:rPr>
        <w:rFonts w:hint="default"/>
        <w:lang w:val="es-ES" w:eastAsia="en-US" w:bidi="ar-SA"/>
      </w:rPr>
    </w:lvl>
    <w:lvl w:ilvl="8">
      <w:start w:val="0"/>
      <w:numFmt w:val="bullet"/>
      <w:lvlText w:val="•"/>
      <w:lvlJc w:val="left"/>
      <w:pPr>
        <w:ind w:left="8383" w:hanging="154"/>
      </w:pPr>
      <w:rPr>
        <w:rFonts w:hint="default"/>
        <w:lang w:val="es-ES" w:eastAsia="en-US" w:bidi="ar-SA"/>
      </w:rPr>
    </w:lvl>
  </w:abstractNum>
  <w:abstractNum w:abstractNumId="0">
    <w:multiLevelType w:val="hybridMultilevel"/>
    <w:lvl w:ilvl="0">
      <w:start w:val="1"/>
      <w:numFmt w:val="decimal"/>
      <w:lvlText w:val="%1."/>
      <w:lvlJc w:val="left"/>
      <w:pPr>
        <w:ind w:left="885" w:hanging="360"/>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901" w:hanging="360"/>
      </w:pPr>
      <w:rPr>
        <w:rFonts w:hint="default"/>
        <w:lang w:val="es-ES" w:eastAsia="en-US" w:bidi="ar-SA"/>
      </w:rPr>
    </w:lvl>
    <w:lvl w:ilvl="2">
      <w:start w:val="0"/>
      <w:numFmt w:val="bullet"/>
      <w:lvlText w:val="•"/>
      <w:lvlJc w:val="left"/>
      <w:pPr>
        <w:ind w:left="2923" w:hanging="360"/>
      </w:pPr>
      <w:rPr>
        <w:rFonts w:hint="default"/>
        <w:lang w:val="es-ES" w:eastAsia="en-US" w:bidi="ar-SA"/>
      </w:rPr>
    </w:lvl>
    <w:lvl w:ilvl="3">
      <w:start w:val="0"/>
      <w:numFmt w:val="bullet"/>
      <w:lvlText w:val="•"/>
      <w:lvlJc w:val="left"/>
      <w:pPr>
        <w:ind w:left="3944" w:hanging="360"/>
      </w:pPr>
      <w:rPr>
        <w:rFonts w:hint="default"/>
        <w:lang w:val="es-ES" w:eastAsia="en-US" w:bidi="ar-SA"/>
      </w:rPr>
    </w:lvl>
    <w:lvl w:ilvl="4">
      <w:start w:val="0"/>
      <w:numFmt w:val="bullet"/>
      <w:lvlText w:val="•"/>
      <w:lvlJc w:val="left"/>
      <w:pPr>
        <w:ind w:left="4966" w:hanging="360"/>
      </w:pPr>
      <w:rPr>
        <w:rFonts w:hint="default"/>
        <w:lang w:val="es-ES" w:eastAsia="en-US" w:bidi="ar-SA"/>
      </w:rPr>
    </w:lvl>
    <w:lvl w:ilvl="5">
      <w:start w:val="0"/>
      <w:numFmt w:val="bullet"/>
      <w:lvlText w:val="•"/>
      <w:lvlJc w:val="left"/>
      <w:pPr>
        <w:ind w:left="5988" w:hanging="360"/>
      </w:pPr>
      <w:rPr>
        <w:rFonts w:hint="default"/>
        <w:lang w:val="es-ES" w:eastAsia="en-US" w:bidi="ar-SA"/>
      </w:rPr>
    </w:lvl>
    <w:lvl w:ilvl="6">
      <w:start w:val="0"/>
      <w:numFmt w:val="bullet"/>
      <w:lvlText w:val="•"/>
      <w:lvlJc w:val="left"/>
      <w:pPr>
        <w:ind w:left="7009" w:hanging="360"/>
      </w:pPr>
      <w:rPr>
        <w:rFonts w:hint="default"/>
        <w:lang w:val="es-ES" w:eastAsia="en-US" w:bidi="ar-SA"/>
      </w:rPr>
    </w:lvl>
    <w:lvl w:ilvl="7">
      <w:start w:val="0"/>
      <w:numFmt w:val="bullet"/>
      <w:lvlText w:val="•"/>
      <w:lvlJc w:val="left"/>
      <w:pPr>
        <w:ind w:left="8031" w:hanging="360"/>
      </w:pPr>
      <w:rPr>
        <w:rFonts w:hint="default"/>
        <w:lang w:val="es-ES" w:eastAsia="en-US" w:bidi="ar-SA"/>
      </w:rPr>
    </w:lvl>
    <w:lvl w:ilvl="8">
      <w:start w:val="0"/>
      <w:numFmt w:val="bullet"/>
      <w:lvlText w:val="•"/>
      <w:lvlJc w:val="left"/>
      <w:pPr>
        <w:ind w:left="9052" w:hanging="360"/>
      </w:pPr>
      <w:rPr>
        <w:rFonts w:hint="default"/>
        <w:lang w:val="es-ES"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37"/>
      <w:ind w:left="884" w:hanging="359"/>
    </w:pPr>
    <w:rPr>
      <w:rFonts w:ascii="Times New Roman" w:hAnsi="Times New Roman" w:eastAsia="Times New Roman" w:cs="Times New Roman"/>
      <w:sz w:val="24"/>
      <w:szCs w:val="24"/>
      <w:lang w:val="es-ES" w:eastAsia="en-US" w:bidi="ar-SA"/>
    </w:rPr>
  </w:style>
  <w:style w:styleId="TOC2" w:type="paragraph">
    <w:name w:val="TOC 2"/>
    <w:basedOn w:val="Normal"/>
    <w:uiPriority w:val="1"/>
    <w:qFormat/>
    <w:pPr>
      <w:spacing w:before="137"/>
      <w:ind w:left="884" w:hanging="359"/>
    </w:pPr>
    <w:rPr>
      <w:rFonts w:ascii="Times New Roman" w:hAnsi="Times New Roman" w:eastAsia="Times New Roman" w:cs="Times New Roman"/>
      <w:sz w:val="24"/>
      <w:szCs w:val="24"/>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spacing w:before="55"/>
      <w:ind w:left="495" w:hanging="330"/>
      <w:outlineLvl w:val="1"/>
    </w:pPr>
    <w:rPr>
      <w:rFonts w:ascii="Times New Roman" w:hAnsi="Times New Roman" w:eastAsia="Times New Roman" w:cs="Times New Roman"/>
      <w:b/>
      <w:bCs/>
      <w:sz w:val="44"/>
      <w:szCs w:val="44"/>
      <w:lang w:val="es-ES" w:eastAsia="en-US" w:bidi="ar-SA"/>
    </w:rPr>
  </w:style>
  <w:style w:styleId="Heading2" w:type="paragraph">
    <w:name w:val="Heading 2"/>
    <w:basedOn w:val="Normal"/>
    <w:uiPriority w:val="1"/>
    <w:qFormat/>
    <w:pPr>
      <w:ind w:left="838"/>
      <w:outlineLvl w:val="2"/>
    </w:pPr>
    <w:rPr>
      <w:rFonts w:ascii="Arial" w:hAnsi="Arial" w:eastAsia="Arial" w:cs="Arial"/>
      <w:b/>
      <w:bCs/>
      <w:sz w:val="36"/>
      <w:szCs w:val="36"/>
      <w:lang w:val="es-ES" w:eastAsia="en-US" w:bidi="ar-SA"/>
    </w:rPr>
  </w:style>
  <w:style w:styleId="Heading3" w:type="paragraph">
    <w:name w:val="Heading 3"/>
    <w:basedOn w:val="Normal"/>
    <w:uiPriority w:val="1"/>
    <w:qFormat/>
    <w:pPr>
      <w:spacing w:before="1"/>
      <w:ind w:left="6725"/>
      <w:outlineLvl w:val="3"/>
    </w:pPr>
    <w:rPr>
      <w:rFonts w:ascii="Arial" w:hAnsi="Arial" w:eastAsia="Arial" w:cs="Arial"/>
      <w:sz w:val="28"/>
      <w:szCs w:val="28"/>
      <w:lang w:val="es-ES" w:eastAsia="en-US" w:bidi="ar-SA"/>
    </w:rPr>
  </w:style>
  <w:style w:styleId="Heading4" w:type="paragraph">
    <w:name w:val="Heading 4"/>
    <w:basedOn w:val="Normal"/>
    <w:uiPriority w:val="1"/>
    <w:qFormat/>
    <w:pPr>
      <w:spacing w:before="33"/>
      <w:ind w:left="2030" w:hanging="1784"/>
      <w:outlineLvl w:val="4"/>
    </w:pPr>
    <w:rPr>
      <w:rFonts w:ascii="Times New Roman" w:hAnsi="Times New Roman" w:eastAsia="Times New Roman" w:cs="Times New Roman"/>
      <w:b/>
      <w:bCs/>
      <w:sz w:val="26"/>
      <w:szCs w:val="26"/>
      <w:lang w:val="es-ES" w:eastAsia="en-US" w:bidi="ar-SA"/>
    </w:rPr>
  </w:style>
  <w:style w:styleId="Heading5" w:type="paragraph">
    <w:name w:val="Heading 5"/>
    <w:basedOn w:val="Normal"/>
    <w:uiPriority w:val="1"/>
    <w:qFormat/>
    <w:pPr>
      <w:ind w:left="377"/>
      <w:outlineLvl w:val="5"/>
    </w:pPr>
    <w:rPr>
      <w:rFonts w:ascii="Arial" w:hAnsi="Arial" w:eastAsia="Arial" w:cs="Arial"/>
      <w:b/>
      <w:bCs/>
      <w:sz w:val="24"/>
      <w:szCs w:val="24"/>
      <w:lang w:val="es-ES" w:eastAsia="en-US" w:bidi="ar-SA"/>
    </w:rPr>
  </w:style>
  <w:style w:styleId="Title" w:type="paragraph">
    <w:name w:val="Title"/>
    <w:basedOn w:val="Normal"/>
    <w:uiPriority w:val="1"/>
    <w:qFormat/>
    <w:pPr>
      <w:spacing w:before="16"/>
      <w:ind w:left="6548"/>
    </w:pPr>
    <w:rPr>
      <w:rFonts w:ascii="Arial" w:hAnsi="Arial" w:eastAsia="Arial" w:cs="Arial"/>
      <w:b/>
      <w:bCs/>
      <w:sz w:val="56"/>
      <w:szCs w:val="56"/>
      <w:lang w:val="es-ES" w:eastAsia="en-US" w:bidi="ar-SA"/>
    </w:rPr>
  </w:style>
  <w:style w:styleId="ListParagraph" w:type="paragraph">
    <w:name w:val="List Paragraph"/>
    <w:basedOn w:val="Normal"/>
    <w:uiPriority w:val="1"/>
    <w:qFormat/>
    <w:pPr>
      <w:ind w:left="885" w:hanging="360"/>
    </w:pPr>
    <w:rPr>
      <w:rFonts w:ascii="Arial" w:hAnsi="Arial" w:eastAsia="Arial" w:cs="Arial"/>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eader" Target="header1.xml"/><Relationship Id="rId13" Type="http://schemas.openxmlformats.org/officeDocument/2006/relationships/footer" Target="footer3.xml"/><Relationship Id="rId14" Type="http://schemas.openxmlformats.org/officeDocument/2006/relationships/image" Target="media/image7.png"/><Relationship Id="rId15" Type="http://schemas.openxmlformats.org/officeDocument/2006/relationships/header" Target="header2.xml"/><Relationship Id="rId16" Type="http://schemas.openxmlformats.org/officeDocument/2006/relationships/footer" Target="footer4.xml"/><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header" Target="header3.xml"/><Relationship Id="rId22" Type="http://schemas.openxmlformats.org/officeDocument/2006/relationships/footer" Target="footer5.xml"/><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header" Target="header4.xml"/><Relationship Id="rId30" Type="http://schemas.openxmlformats.org/officeDocument/2006/relationships/footer" Target="footer6.xml"/><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header" Target="header5.xml"/><Relationship Id="rId48" Type="http://schemas.openxmlformats.org/officeDocument/2006/relationships/footer" Target="footer7.xml"/><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header" Target="header6.xml"/><Relationship Id="rId53" Type="http://schemas.openxmlformats.org/officeDocument/2006/relationships/footer" Target="footer8.xml"/><Relationship Id="rId54" Type="http://schemas.openxmlformats.org/officeDocument/2006/relationships/image" Target="media/image38.png"/><Relationship Id="rId55" Type="http://schemas.openxmlformats.org/officeDocument/2006/relationships/image" Target="media/image39.png"/><Relationship Id="rId56" Type="http://schemas.openxmlformats.org/officeDocument/2006/relationships/image" Target="media/image40.png"/><Relationship Id="rId57" Type="http://schemas.openxmlformats.org/officeDocument/2006/relationships/image" Target="media/image41.png"/><Relationship Id="rId58" Type="http://schemas.openxmlformats.org/officeDocument/2006/relationships/header" Target="header7.xml"/><Relationship Id="rId59" Type="http://schemas.openxmlformats.org/officeDocument/2006/relationships/footer" Target="footer9.xml"/><Relationship Id="rId60" Type="http://schemas.openxmlformats.org/officeDocument/2006/relationships/image" Target="media/image42.png"/><Relationship Id="rId61" Type="http://schemas.openxmlformats.org/officeDocument/2006/relationships/header" Target="header8.xml"/><Relationship Id="rId62" Type="http://schemas.openxmlformats.org/officeDocument/2006/relationships/footer" Target="footer10.xml"/><Relationship Id="rId63" Type="http://schemas.openxmlformats.org/officeDocument/2006/relationships/image" Target="media/image43.png"/><Relationship Id="rId64" Type="http://schemas.openxmlformats.org/officeDocument/2006/relationships/image" Target="media/image44.png"/><Relationship Id="rId65" Type="http://schemas.openxmlformats.org/officeDocument/2006/relationships/header" Target="header9.xml"/><Relationship Id="rId66" Type="http://schemas.openxmlformats.org/officeDocument/2006/relationships/footer" Target="footer11.xml"/><Relationship Id="rId67" Type="http://schemas.openxmlformats.org/officeDocument/2006/relationships/header" Target="header10.xml"/><Relationship Id="rId68" Type="http://schemas.openxmlformats.org/officeDocument/2006/relationships/footer" Target="footer12.xml"/><Relationship Id="rId69" Type="http://schemas.openxmlformats.org/officeDocument/2006/relationships/header" Target="header11.xml"/><Relationship Id="rId70" Type="http://schemas.openxmlformats.org/officeDocument/2006/relationships/footer" Target="footer13.xml"/><Relationship Id="rId71" Type="http://schemas.openxmlformats.org/officeDocument/2006/relationships/header" Target="header12.xml"/><Relationship Id="rId72" Type="http://schemas.openxmlformats.org/officeDocument/2006/relationships/footer" Target="footer14.xml"/><Relationship Id="rId73" Type="http://schemas.openxmlformats.org/officeDocument/2006/relationships/header" Target="header13.xml"/><Relationship Id="rId74" Type="http://schemas.openxmlformats.org/officeDocument/2006/relationships/footer" Target="footer15.xml"/><Relationship Id="rId75" Type="http://schemas.openxmlformats.org/officeDocument/2006/relationships/header" Target="header14.xml"/><Relationship Id="rId76" Type="http://schemas.openxmlformats.org/officeDocument/2006/relationships/footer" Target="footer16.xml"/><Relationship Id="rId77" Type="http://schemas.openxmlformats.org/officeDocument/2006/relationships/header" Target="header15.xml"/><Relationship Id="rId78" Type="http://schemas.openxmlformats.org/officeDocument/2006/relationships/footer" Target="footer17.xml"/><Relationship Id="rId79" Type="http://schemas.openxmlformats.org/officeDocument/2006/relationships/header" Target="header16.xml"/><Relationship Id="rId80" Type="http://schemas.openxmlformats.org/officeDocument/2006/relationships/footer" Target="footer18.xml"/><Relationship Id="rId81" Type="http://schemas.openxmlformats.org/officeDocument/2006/relationships/header" Target="header17.xml"/><Relationship Id="rId82" Type="http://schemas.openxmlformats.org/officeDocument/2006/relationships/footer" Target="footer19.xml"/><Relationship Id="rId83" Type="http://schemas.openxmlformats.org/officeDocument/2006/relationships/header" Target="header18.xml"/><Relationship Id="rId84" Type="http://schemas.openxmlformats.org/officeDocument/2006/relationships/footer" Target="footer20.xml"/><Relationship Id="rId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Isabel Brenes Bonilla</dc:creator>
  <dcterms:created xsi:type="dcterms:W3CDTF">2026-09-16T19:28:04Z</dcterms:created>
  <dcterms:modified xsi:type="dcterms:W3CDTF">2026-09-16T19:28:04Z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