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5"/>
        <w:rPr>
          <w:rFonts w:ascii="Times New Roman"/>
          <w:sz w:val="20"/>
        </w:rPr>
      </w:pPr>
    </w:p>
    <w:p>
      <w:pPr>
        <w:spacing w:line="240" w:lineRule="auto"/>
        <w:ind w:left="307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26448" cy="7680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448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21"/>
        <w:rPr>
          <w:rFonts w:ascii="Times New Roman"/>
        </w:rPr>
      </w:pPr>
    </w:p>
    <w:p>
      <w:pPr>
        <w:spacing w:line="285" w:lineRule="auto" w:before="0"/>
        <w:ind w:left="2781" w:right="2468" w:firstLine="1"/>
        <w:jc w:val="center"/>
        <w:rPr>
          <w:b/>
          <w:sz w:val="24"/>
        </w:rPr>
      </w:pPr>
      <w:r>
        <w:rPr>
          <w:b/>
          <w:sz w:val="24"/>
        </w:rPr>
        <w:t>INSTITUTO MIXTO DE AYUDA SOCIAL DIRECCIÓN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DESARROLLO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SOCIAL</w:t>
      </w:r>
    </w:p>
    <w:p>
      <w:pPr>
        <w:spacing w:before="2"/>
        <w:ind w:left="313" w:right="0" w:firstLine="0"/>
        <w:jc w:val="center"/>
        <w:rPr>
          <w:b/>
          <w:sz w:val="24"/>
        </w:rPr>
      </w:pPr>
      <w:r>
        <w:rPr>
          <w:b/>
          <w:sz w:val="24"/>
        </w:rPr>
        <w:t>DEPARTAMENTO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SISTEMAS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INFORMACIÓN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SOCIAL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1"/>
        <w:rPr>
          <w:b/>
        </w:rPr>
      </w:pPr>
    </w:p>
    <w:p>
      <w:pPr>
        <w:spacing w:line="283" w:lineRule="auto" w:before="0"/>
        <w:ind w:left="526" w:right="217" w:firstLine="0"/>
        <w:jc w:val="center"/>
        <w:rPr>
          <w:b/>
          <w:sz w:val="24"/>
        </w:rPr>
      </w:pPr>
      <w:r>
        <w:rPr>
          <w:b/>
          <w:sz w:val="24"/>
        </w:rPr>
        <w:t>Resumen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ejecutivo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ejecución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presupuestaria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población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beneficiaria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del Programa de Protección y Promoción Social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5"/>
        <w:rPr>
          <w:b/>
        </w:rPr>
      </w:pPr>
    </w:p>
    <w:p>
      <w:pPr>
        <w:spacing w:before="0"/>
        <w:ind w:left="317" w:right="0" w:firstLine="0"/>
        <w:jc w:val="center"/>
        <w:rPr>
          <w:b/>
          <w:sz w:val="24"/>
        </w:rPr>
      </w:pPr>
      <w:r>
        <w:rPr>
          <w:b/>
          <w:sz w:val="24"/>
        </w:rPr>
        <w:t>(Acumulado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primer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semestre,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período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01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enero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30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junio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2026)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48"/>
        <w:rPr>
          <w:b/>
        </w:rPr>
      </w:pPr>
    </w:p>
    <w:p>
      <w:pPr>
        <w:spacing w:before="0"/>
        <w:ind w:left="312" w:right="0" w:firstLine="0"/>
        <w:jc w:val="center"/>
        <w:rPr>
          <w:b/>
          <w:sz w:val="24"/>
        </w:rPr>
      </w:pPr>
      <w:r>
        <w:rPr>
          <w:b/>
          <w:sz w:val="24"/>
        </w:rPr>
        <w:t>San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José,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20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julio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2026</w:t>
      </w:r>
    </w:p>
    <w:p>
      <w:pPr>
        <w:spacing w:after="0"/>
        <w:jc w:val="center"/>
        <w:rPr>
          <w:b/>
          <w:sz w:val="24"/>
        </w:rPr>
        <w:sectPr>
          <w:type w:val="continuous"/>
          <w:pgSz w:w="12240" w:h="15840"/>
          <w:pgMar w:top="1820" w:bottom="280" w:left="1080" w:right="144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6000">
                <wp:simplePos x="0" y="0"/>
                <wp:positionH relativeFrom="page">
                  <wp:posOffset>0</wp:posOffset>
                </wp:positionH>
                <wp:positionV relativeFrom="page">
                  <wp:posOffset>469022</wp:posOffset>
                </wp:positionV>
                <wp:extent cx="7772400" cy="958977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772400" cy="9589770"/>
                          <a:chExt cx="7772400" cy="958977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5893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429" y="4245217"/>
                            <a:ext cx="6172200" cy="213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36.930885pt;width:612pt;height:755.1pt;mso-position-horizontal-relative:page;mso-position-vertical-relative:page;z-index:-16020480" id="docshapegroup1" coordorigin="0,739" coordsize="12240,15102">
                <v:shape style="position:absolute;left:0;top:738;width:12240;height:15102" type="#_x0000_t75" id="docshape2" stroked="false">
                  <v:imagedata r:id="rId6" o:title=""/>
                </v:shape>
                <v:shape style="position:absolute;left:1418;top:7424;width:9720;height:3360" type="#_x0000_t75" id="docshape3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w:t>RESUMEN</w:t>
      </w:r>
      <w:r>
        <w:rPr>
          <w:spacing w:val="-6"/>
        </w:rPr>
        <w:t> </w:t>
      </w:r>
      <w:r>
        <w:rPr>
          <w:spacing w:val="-2"/>
        </w:rPr>
        <w:t>EJECUTIVO</w:t>
      </w:r>
    </w:p>
    <w:p>
      <w:pPr>
        <w:spacing w:line="278" w:lineRule="auto" w:before="244"/>
        <w:ind w:left="338" w:right="21" w:firstLine="0"/>
        <w:jc w:val="both"/>
        <w:rPr>
          <w:sz w:val="24"/>
        </w:rPr>
      </w:pPr>
      <w:r>
        <w:rPr>
          <w:sz w:val="24"/>
        </w:rPr>
        <w:t>El </w:t>
      </w:r>
      <w:r>
        <w:rPr>
          <w:i/>
          <w:sz w:val="24"/>
        </w:rPr>
        <w:t>Resumen ejecutivo de la ejecución presupuestaria y población beneficiaria del</w:t>
      </w:r>
      <w:r>
        <w:rPr>
          <w:i/>
          <w:sz w:val="24"/>
        </w:rPr>
        <w:t> Programa de Protección y Promoción Social, correspondiente acumulado al primer semestre de 2026</w:t>
      </w:r>
      <w:r>
        <w:rPr>
          <w:sz w:val="24"/>
        </w:rPr>
        <w:t>, se constituye en un documento de rendición de cuentas y de seguimiento que tiene por objetivo presentar los datos de la ejecución de metas de la población beneficiaria y ejecución presupuestaria de los beneficios, subsidios y transferencia con erogación del</w:t>
      </w:r>
      <w:r>
        <w:rPr>
          <w:spacing w:val="-1"/>
          <w:sz w:val="24"/>
        </w:rPr>
        <w:t> </w:t>
      </w:r>
      <w:r>
        <w:rPr>
          <w:sz w:val="24"/>
        </w:rPr>
        <w:t>Programa de</w:t>
      </w:r>
      <w:r>
        <w:rPr>
          <w:spacing w:val="-2"/>
          <w:sz w:val="24"/>
        </w:rPr>
        <w:t> </w:t>
      </w:r>
      <w:r>
        <w:rPr>
          <w:sz w:val="24"/>
        </w:rPr>
        <w:t>Protección y</w:t>
      </w:r>
      <w:r>
        <w:rPr>
          <w:spacing w:val="-1"/>
          <w:sz w:val="24"/>
        </w:rPr>
        <w:t> </w:t>
      </w:r>
      <w:r>
        <w:rPr>
          <w:sz w:val="24"/>
        </w:rPr>
        <w:t>Promoción Social</w:t>
      </w:r>
      <w:r>
        <w:rPr>
          <w:spacing w:val="-1"/>
          <w:sz w:val="24"/>
        </w:rPr>
        <w:t> </w:t>
      </w:r>
      <w:r>
        <w:rPr>
          <w:sz w:val="24"/>
        </w:rPr>
        <w:t>(PPPS)</w:t>
      </w:r>
      <w:r>
        <w:rPr>
          <w:spacing w:val="-3"/>
          <w:sz w:val="24"/>
        </w:rPr>
        <w:t> </w:t>
      </w:r>
      <w:r>
        <w:rPr>
          <w:sz w:val="24"/>
        </w:rPr>
        <w:t>de la Dirección de Desarrollo Social (DDS) del Instituto Mixto de Ayuda Social (IMAS), con los datos acumulado al primer semestre de 2026, según registros del Sistema de Atención de Beneficiarios (SABEN).</w:t>
      </w:r>
    </w:p>
    <w:p>
      <w:pPr>
        <w:pStyle w:val="BodyText"/>
        <w:spacing w:line="278" w:lineRule="auto" w:before="232"/>
        <w:ind w:left="338" w:right="20"/>
        <w:jc w:val="both"/>
      </w:pPr>
      <w:r>
        <w:rPr/>
        <w:t>Acumulado al primer semestre de 2026 (período del 01 de enero al 30 de junio), estos son los resultados generales en cuanto a población beneficiaria y ejecución </w:t>
      </w:r>
      <w:r>
        <w:rPr>
          <w:spacing w:val="-2"/>
        </w:rPr>
        <w:t>presupuestaria.</w:t>
      </w:r>
    </w:p>
    <w:p>
      <w:pPr>
        <w:spacing w:before="242"/>
        <w:ind w:left="309" w:right="0" w:firstLine="0"/>
        <w:jc w:val="center"/>
        <w:rPr>
          <w:b/>
          <w:sz w:val="24"/>
        </w:rPr>
      </w:pPr>
      <w:r>
        <w:rPr>
          <w:b/>
          <w:sz w:val="24"/>
        </w:rPr>
        <w:t>Imagen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Ejecución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cantidad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Hogares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> personas.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5"/>
        <w:rPr>
          <w:b/>
        </w:rPr>
      </w:pPr>
    </w:p>
    <w:p>
      <w:pPr>
        <w:pStyle w:val="BodyText"/>
        <w:spacing w:line="278" w:lineRule="auto"/>
        <w:ind w:left="338" w:right="23"/>
        <w:jc w:val="both"/>
      </w:pPr>
      <w:r>
        <w:rPr/>
        <w:t>Dicha</w:t>
      </w:r>
      <w:r>
        <w:rPr>
          <w:spacing w:val="-10"/>
        </w:rPr>
        <w:t> </w:t>
      </w:r>
      <w:r>
        <w:rPr/>
        <w:t>ejecución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metas</w:t>
      </w:r>
      <w:r>
        <w:rPr>
          <w:spacing w:val="-10"/>
        </w:rPr>
        <w:t> </w:t>
      </w:r>
      <w:r>
        <w:rPr/>
        <w:t>por</w:t>
      </w:r>
      <w:r>
        <w:rPr>
          <w:spacing w:val="-11"/>
        </w:rPr>
        <w:t> </w:t>
      </w:r>
      <w:r>
        <w:rPr/>
        <w:t>cantidad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hogares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el</w:t>
      </w:r>
      <w:r>
        <w:rPr>
          <w:spacing w:val="-6"/>
        </w:rPr>
        <w:t> </w:t>
      </w:r>
      <w:r>
        <w:rPr/>
        <w:t>primer</w:t>
      </w:r>
      <w:r>
        <w:rPr>
          <w:spacing w:val="-11"/>
        </w:rPr>
        <w:t> </w:t>
      </w:r>
      <w:r>
        <w:rPr/>
        <w:t>semestre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2026</w:t>
      </w:r>
      <w:r>
        <w:rPr>
          <w:spacing w:val="-12"/>
        </w:rPr>
        <w:t> </w:t>
      </w:r>
      <w:r>
        <w:rPr/>
        <w:t>está distribuida de la siguiente manera, según tipo de subsidio o transferencia monetaria.</w:t>
      </w:r>
    </w:p>
    <w:p>
      <w:pPr>
        <w:pStyle w:val="BodyText"/>
        <w:spacing w:after="0" w:line="278" w:lineRule="auto"/>
        <w:jc w:val="both"/>
        <w:sectPr>
          <w:pgSz w:w="12240" w:h="15840"/>
          <w:pgMar w:top="1820" w:bottom="280" w:left="1080" w:right="144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6512">
                <wp:simplePos x="0" y="0"/>
                <wp:positionH relativeFrom="page">
                  <wp:posOffset>0</wp:posOffset>
                </wp:positionH>
                <wp:positionV relativeFrom="page">
                  <wp:posOffset>469022</wp:posOffset>
                </wp:positionV>
                <wp:extent cx="7772400" cy="958977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772400" cy="9589770"/>
                          <a:chExt cx="7772400" cy="958977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589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900429" y="1499731"/>
                            <a:ext cx="5934075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4075" h="2505075">
                                <a:moveTo>
                                  <a:pt x="5934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5075"/>
                                </a:lnTo>
                                <a:lnTo>
                                  <a:pt x="5934075" y="2505075"/>
                                </a:lnTo>
                                <a:lnTo>
                                  <a:pt x="5934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7489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0097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4229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8361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0969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9233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5101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3230" y="1970774"/>
                            <a:ext cx="2946273" cy="1899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3365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5973" y="1970774"/>
                            <a:ext cx="9525" cy="1894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3714103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3569323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3423019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3276715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3131935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2985631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2840851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2548243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2694547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2257159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2403463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1966075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057" y="2112506"/>
                            <a:ext cx="2936747" cy="95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6659" y="2092821"/>
                            <a:ext cx="2809493" cy="17815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3757929" y="2162925"/>
                            <a:ext cx="2740660" cy="165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0660" h="1655445">
                                <a:moveTo>
                                  <a:pt x="105410" y="1655064"/>
                                </a:moveTo>
                                <a:lnTo>
                                  <a:pt x="0" y="1655064"/>
                                </a:lnTo>
                                <a:lnTo>
                                  <a:pt x="0" y="1603248"/>
                                </a:lnTo>
                                <a:lnTo>
                                  <a:pt x="105410" y="1603248"/>
                                </a:lnTo>
                                <a:lnTo>
                                  <a:pt x="105410" y="1655064"/>
                                </a:lnTo>
                                <a:close/>
                              </a:path>
                              <a:path w="2740660" h="1655445">
                                <a:moveTo>
                                  <a:pt x="923798" y="1508760"/>
                                </a:moveTo>
                                <a:lnTo>
                                  <a:pt x="0" y="1508760"/>
                                </a:lnTo>
                                <a:lnTo>
                                  <a:pt x="0" y="1458467"/>
                                </a:lnTo>
                                <a:lnTo>
                                  <a:pt x="923798" y="1458467"/>
                                </a:lnTo>
                                <a:lnTo>
                                  <a:pt x="923798" y="1508760"/>
                                </a:lnTo>
                                <a:close/>
                              </a:path>
                              <a:path w="2740660" h="1655445">
                                <a:moveTo>
                                  <a:pt x="68834" y="1363979"/>
                                </a:moveTo>
                                <a:lnTo>
                                  <a:pt x="0" y="1363979"/>
                                </a:lnTo>
                                <a:lnTo>
                                  <a:pt x="0" y="1312164"/>
                                </a:lnTo>
                                <a:lnTo>
                                  <a:pt x="68834" y="1312164"/>
                                </a:lnTo>
                                <a:lnTo>
                                  <a:pt x="68834" y="1363979"/>
                                </a:lnTo>
                                <a:close/>
                              </a:path>
                              <a:path w="2740660" h="1655445">
                                <a:moveTo>
                                  <a:pt x="2740406" y="1217676"/>
                                </a:moveTo>
                                <a:lnTo>
                                  <a:pt x="0" y="1217676"/>
                                </a:lnTo>
                                <a:lnTo>
                                  <a:pt x="0" y="1165860"/>
                                </a:lnTo>
                                <a:lnTo>
                                  <a:pt x="2740406" y="1165860"/>
                                </a:lnTo>
                                <a:lnTo>
                                  <a:pt x="2740406" y="1217676"/>
                                </a:lnTo>
                                <a:close/>
                              </a:path>
                              <a:path w="2740660" h="1655445">
                                <a:moveTo>
                                  <a:pt x="289814" y="1072896"/>
                                </a:moveTo>
                                <a:lnTo>
                                  <a:pt x="0" y="1072896"/>
                                </a:lnTo>
                                <a:lnTo>
                                  <a:pt x="0" y="1021079"/>
                                </a:lnTo>
                                <a:lnTo>
                                  <a:pt x="289814" y="1021079"/>
                                </a:lnTo>
                                <a:lnTo>
                                  <a:pt x="289814" y="1072896"/>
                                </a:lnTo>
                                <a:close/>
                              </a:path>
                              <a:path w="2740660" h="1655445">
                                <a:moveTo>
                                  <a:pt x="1475486" y="926591"/>
                                </a:moveTo>
                                <a:lnTo>
                                  <a:pt x="0" y="926591"/>
                                </a:lnTo>
                                <a:lnTo>
                                  <a:pt x="0" y="874776"/>
                                </a:lnTo>
                                <a:lnTo>
                                  <a:pt x="1475486" y="874776"/>
                                </a:lnTo>
                                <a:lnTo>
                                  <a:pt x="1475486" y="926591"/>
                                </a:lnTo>
                                <a:close/>
                              </a:path>
                              <a:path w="2740660" h="1655445">
                                <a:moveTo>
                                  <a:pt x="18542" y="780287"/>
                                </a:moveTo>
                                <a:lnTo>
                                  <a:pt x="0" y="780287"/>
                                </a:lnTo>
                                <a:lnTo>
                                  <a:pt x="0" y="728472"/>
                                </a:lnTo>
                                <a:lnTo>
                                  <a:pt x="18542" y="728472"/>
                                </a:lnTo>
                                <a:lnTo>
                                  <a:pt x="18542" y="780287"/>
                                </a:lnTo>
                                <a:close/>
                              </a:path>
                              <a:path w="2740660" h="1655445">
                                <a:moveTo>
                                  <a:pt x="74930" y="635507"/>
                                </a:moveTo>
                                <a:lnTo>
                                  <a:pt x="0" y="635507"/>
                                </a:lnTo>
                                <a:lnTo>
                                  <a:pt x="0" y="583692"/>
                                </a:lnTo>
                                <a:lnTo>
                                  <a:pt x="74930" y="583692"/>
                                </a:lnTo>
                                <a:lnTo>
                                  <a:pt x="74930" y="635507"/>
                                </a:lnTo>
                                <a:close/>
                              </a:path>
                              <a:path w="2740660" h="1655445">
                                <a:moveTo>
                                  <a:pt x="4825" y="489203"/>
                                </a:moveTo>
                                <a:lnTo>
                                  <a:pt x="0" y="489203"/>
                                </a:lnTo>
                                <a:lnTo>
                                  <a:pt x="0" y="437387"/>
                                </a:lnTo>
                                <a:lnTo>
                                  <a:pt x="4825" y="437387"/>
                                </a:lnTo>
                                <a:lnTo>
                                  <a:pt x="4825" y="489203"/>
                                </a:lnTo>
                                <a:close/>
                              </a:path>
                              <a:path w="2740660" h="1655445">
                                <a:moveTo>
                                  <a:pt x="27686" y="344424"/>
                                </a:moveTo>
                                <a:lnTo>
                                  <a:pt x="0" y="344424"/>
                                </a:lnTo>
                                <a:lnTo>
                                  <a:pt x="0" y="292607"/>
                                </a:lnTo>
                                <a:lnTo>
                                  <a:pt x="27686" y="292607"/>
                                </a:lnTo>
                                <a:lnTo>
                                  <a:pt x="27686" y="344424"/>
                                </a:lnTo>
                                <a:close/>
                              </a:path>
                              <a:path w="2740660" h="1655445">
                                <a:moveTo>
                                  <a:pt x="117602" y="198120"/>
                                </a:moveTo>
                                <a:lnTo>
                                  <a:pt x="0" y="198120"/>
                                </a:lnTo>
                                <a:lnTo>
                                  <a:pt x="0" y="146303"/>
                                </a:lnTo>
                                <a:lnTo>
                                  <a:pt x="117602" y="146303"/>
                                </a:lnTo>
                                <a:lnTo>
                                  <a:pt x="117602" y="198120"/>
                                </a:lnTo>
                                <a:close/>
                              </a:path>
                              <a:path w="2740660" h="1655445">
                                <a:moveTo>
                                  <a:pt x="29210" y="51816"/>
                                </a:moveTo>
                                <a:lnTo>
                                  <a:pt x="0" y="51816"/>
                                </a:lnTo>
                                <a:lnTo>
                                  <a:pt x="0" y="0"/>
                                </a:lnTo>
                                <a:lnTo>
                                  <a:pt x="29210" y="0"/>
                                </a:lnTo>
                                <a:lnTo>
                                  <a:pt x="29210" y="5181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900429" y="1499731"/>
                            <a:ext cx="5934075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4075" h="2505075">
                                <a:moveTo>
                                  <a:pt x="0" y="2505075"/>
                                </a:moveTo>
                                <a:lnTo>
                                  <a:pt x="5934075" y="2505075"/>
                                </a:lnTo>
                                <a:lnTo>
                                  <a:pt x="59340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50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429" y="6777876"/>
                            <a:ext cx="6000750" cy="16192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2741040" y="1630795"/>
                            <a:ext cx="226441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D9D9D9"/>
                                  <w:sz w:val="28"/>
                                </w:rPr>
                                <w:t>Oferta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D9D9D9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D9D9D9"/>
                                  <w:sz w:val="28"/>
                                </w:rPr>
                                <w:t>programática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D9D9D9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D9D9D9"/>
                                  <w:sz w:val="28"/>
                                </w:rPr>
                                <w:t>por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D9D9D9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D9D9D9"/>
                                  <w:spacing w:val="-4"/>
                                  <w:sz w:val="28"/>
                                </w:rPr>
                                <w:t>hogar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983284" y="2136382"/>
                            <a:ext cx="2758440" cy="171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138" w:firstLine="0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4"/>
                                  <w:sz w:val="18"/>
                                </w:rPr>
                                <w:t>VEDA</w:t>
                              </w:r>
                            </w:p>
                            <w:p>
                              <w:pPr>
                                <w:spacing w:line="249" w:lineRule="auto" w:before="9"/>
                                <w:ind w:left="1420" w:right="139" w:firstLine="968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PROCESOS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FORMATIVOS PRESTACION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ALIMENTARIA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(INCISO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K)</w:t>
                              </w:r>
                            </w:p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BEBEBE"/>
                                  <w:sz w:val="18"/>
                                </w:rPr>
                                <w:t>GASTOS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z w:val="18"/>
                                </w:rPr>
                                <w:t>IMPLEMENTACIÓN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z w:val="18"/>
                                </w:rPr>
                                <w:t>MEJORAMIENTO</w:t>
                              </w:r>
                              <w:r>
                                <w:rPr>
                                  <w:rFonts w:ascii="Calibri" w:hAnsi="Calibri"/>
                                  <w:color w:val="BEBEBE"/>
                                  <w:spacing w:val="-5"/>
                                  <w:sz w:val="18"/>
                                </w:rPr>
                                <w:t> DE…</w:t>
                              </w:r>
                            </w:p>
                            <w:p>
                              <w:pPr>
                                <w:spacing w:before="10"/>
                                <w:ind w:left="0" w:right="140" w:firstLine="0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EMPRENDIMIENTOS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PRODUCTIVOS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INDIVIDUALES</w:t>
                              </w:r>
                            </w:p>
                            <w:p>
                              <w:pPr>
                                <w:spacing w:line="249" w:lineRule="auto" w:before="10"/>
                                <w:ind w:left="1647" w:right="137" w:firstLine="1482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EMERGENCIAS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 CUIDADO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DESARROLLO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INFANTIL</w:t>
                              </w:r>
                            </w:p>
                            <w:p>
                              <w:pPr>
                                <w:spacing w:line="249" w:lineRule="auto" w:before="2"/>
                                <w:ind w:left="3237" w:right="138" w:hanging="142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CAPACITACION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AVANCEMOS</w:t>
                              </w:r>
                            </w:p>
                            <w:p>
                              <w:pPr>
                                <w:spacing w:before="2"/>
                                <w:ind w:left="0" w:right="139" w:firstLine="0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ATENCION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SITUACIONES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VIOLENCIA</w:t>
                              </w:r>
                            </w:p>
                            <w:p>
                              <w:pPr>
                                <w:spacing w:line="249" w:lineRule="auto" w:before="0"/>
                                <w:ind w:left="1702" w:right="139" w:firstLine="848"/>
                                <w:jc w:val="righ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ATENCION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FAMILIAS ASIGNACION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FAMILIAR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z w:val="18"/>
                                </w:rPr>
                                <w:t>(INCISO</w:t>
                              </w:r>
                              <w:r>
                                <w:rPr>
                                  <w:rFonts w:ascii="Calibri"/>
                                  <w:color w:val="BEBEBE"/>
                                  <w:spacing w:val="-5"/>
                                  <w:sz w:val="18"/>
                                </w:rPr>
                                <w:t> H)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839844" y="2142478"/>
                            <a:ext cx="409575" cy="843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38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0.50%</w:t>
                              </w:r>
                            </w:p>
                            <w:p>
                              <w:pPr>
                                <w:spacing w:before="9"/>
                                <w:ind w:left="176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2.00%</w:t>
                              </w:r>
                            </w:p>
                            <w:p>
                              <w:pPr>
                                <w:spacing w:before="10"/>
                                <w:ind w:left="34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0.46%</w:t>
                              </w:r>
                            </w:p>
                            <w:p>
                              <w:pPr>
                                <w:spacing w:before="1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0.09%</w:t>
                              </w:r>
                            </w:p>
                            <w:p>
                              <w:pPr>
                                <w:spacing w:before="10"/>
                                <w:ind w:left="11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1.28%</w:t>
                              </w:r>
                            </w:p>
                            <w:p>
                              <w:pPr>
                                <w:spacing w:line="216" w:lineRule="exact" w:before="10"/>
                                <w:ind w:left="2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0.30%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310885" y="3016873"/>
                            <a:ext cx="3556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25.13%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124832" y="3162542"/>
                            <a:ext cx="2971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4.94%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455409" y="3308338"/>
                            <a:ext cx="3556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46.65%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902963" y="3453779"/>
                            <a:ext cx="29781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1.16%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757927" y="3599930"/>
                            <a:ext cx="3556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15.71%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939539" y="3745726"/>
                            <a:ext cx="2971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color w:val="BEBEBE"/>
                                  <w:spacing w:val="-2"/>
                                  <w:sz w:val="18"/>
                                </w:rPr>
                                <w:t>1.78%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36.930885pt;width:612pt;height:755.1pt;mso-position-horizontal-relative:page;mso-position-vertical-relative:page;z-index:-16019968" id="docshapegroup4" coordorigin="0,739" coordsize="12240,15102">
                <v:shape style="position:absolute;left:0;top:738;width:12240;height:15102" type="#_x0000_t75" id="docshape5" stroked="false">
                  <v:imagedata r:id="rId6" o:title=""/>
                </v:shape>
                <v:rect style="position:absolute;left:1418;top:3100;width:9345;height:3945" id="docshape6" filled="true" fillcolor="#404040" stroked="false">
                  <v:fill type="solid"/>
                </v:rect>
                <v:shape style="position:absolute;left:6374;top:3842;width:15;height:2984" type="#_x0000_t75" id="docshape7" stroked="false">
                  <v:imagedata r:id="rId8" o:title=""/>
                </v:shape>
                <v:shape style="position:absolute;left:6834;top:3842;width:15;height:2984" type="#_x0000_t75" id="docshape8" stroked="false">
                  <v:imagedata r:id="rId9" o:title=""/>
                </v:shape>
                <v:shape style="position:absolute;left:7298;top:3842;width:15;height:2984" type="#_x0000_t75" id="docshape9" stroked="false">
                  <v:imagedata r:id="rId10" o:title=""/>
                </v:shape>
                <v:shape style="position:absolute;left:7761;top:3842;width:15;height:2984" type="#_x0000_t75" id="docshape10" stroked="false">
                  <v:imagedata r:id="rId11" o:title=""/>
                </v:shape>
                <v:shape style="position:absolute;left:8222;top:3842;width:15;height:2984" type="#_x0000_t75" id="docshape11" stroked="false">
                  <v:imagedata r:id="rId12" o:title=""/>
                </v:shape>
                <v:shape style="position:absolute;left:9148;top:3842;width:15;height:2984" type="#_x0000_t75" id="docshape12" stroked="false">
                  <v:imagedata r:id="rId13" o:title=""/>
                </v:shape>
                <v:shape style="position:absolute;left:8685;top:3842;width:15;height:2984" type="#_x0000_t75" id="docshape13" stroked="false">
                  <v:imagedata r:id="rId14" o:title=""/>
                </v:shape>
                <v:shape style="position:absolute;left:5910;top:3842;width:4640;height:2991" type="#_x0000_t75" id="docshape14" stroked="false">
                  <v:imagedata r:id="rId15" o:title=""/>
                </v:shape>
                <v:shape style="position:absolute;left:9611;top:3842;width:15;height:2984" type="#_x0000_t75" id="docshape15" stroked="false">
                  <v:imagedata r:id="rId16" o:title=""/>
                </v:shape>
                <v:shape style="position:absolute;left:10072;top:3842;width:15;height:2984" type="#_x0000_t75" id="docshape16" stroked="false">
                  <v:imagedata r:id="rId16" o:title=""/>
                </v:shape>
                <v:shape style="position:absolute;left:5918;top:6587;width:4625;height:15" type="#_x0000_t75" id="docshape17" stroked="false">
                  <v:imagedata r:id="rId17" o:title=""/>
                </v:shape>
                <v:shape style="position:absolute;left:5918;top:6359;width:4625;height:15" type="#_x0000_t75" id="docshape18" stroked="false">
                  <v:imagedata r:id="rId17" o:title=""/>
                </v:shape>
                <v:shape style="position:absolute;left:5918;top:6129;width:4625;height:15" type="#_x0000_t75" id="docshape19" stroked="false">
                  <v:imagedata r:id="rId17" o:title=""/>
                </v:shape>
                <v:shape style="position:absolute;left:5918;top:5898;width:4625;height:15" type="#_x0000_t75" id="docshape20" stroked="false">
                  <v:imagedata r:id="rId17" o:title=""/>
                </v:shape>
                <v:shape style="position:absolute;left:5918;top:5670;width:4625;height:15" type="#_x0000_t75" id="docshape21" stroked="false">
                  <v:imagedata r:id="rId17" o:title=""/>
                </v:shape>
                <v:shape style="position:absolute;left:5918;top:5440;width:4625;height:15" type="#_x0000_t75" id="docshape22" stroked="false">
                  <v:imagedata r:id="rId17" o:title=""/>
                </v:shape>
                <v:shape style="position:absolute;left:5918;top:5212;width:4625;height:15" type="#_x0000_t75" id="docshape23" stroked="false">
                  <v:imagedata r:id="rId17" o:title=""/>
                </v:shape>
                <v:shape style="position:absolute;left:5918;top:4751;width:4625;height:15" type="#_x0000_t75" id="docshape24" stroked="false">
                  <v:imagedata r:id="rId17" o:title=""/>
                </v:shape>
                <v:shape style="position:absolute;left:5918;top:4982;width:4625;height:15" type="#_x0000_t75" id="docshape25" stroked="false">
                  <v:imagedata r:id="rId17" o:title=""/>
                </v:shape>
                <v:shape style="position:absolute;left:5918;top:4293;width:4625;height:15" type="#_x0000_t75" id="docshape26" stroked="false">
                  <v:imagedata r:id="rId17" o:title=""/>
                </v:shape>
                <v:shape style="position:absolute;left:5918;top:4523;width:4625;height:15" type="#_x0000_t75" id="docshape27" stroked="false">
                  <v:imagedata r:id="rId17" o:title=""/>
                </v:shape>
                <v:shape style="position:absolute;left:5918;top:3834;width:4625;height:15" type="#_x0000_t75" id="docshape28" stroked="false">
                  <v:imagedata r:id="rId17" o:title=""/>
                </v:shape>
                <v:shape style="position:absolute;left:5918;top:4065;width:4625;height:15" type="#_x0000_t75" id="docshape29" stroked="false">
                  <v:imagedata r:id="rId17" o:title=""/>
                </v:shape>
                <v:shape style="position:absolute;left:5916;top:4034;width:4425;height:2806" type="#_x0000_t75" id="docshape30" stroked="false">
                  <v:imagedata r:id="rId18" o:title=""/>
                </v:shape>
                <v:shape style="position:absolute;left:5918;top:4144;width:4316;height:2607" id="docshape31" coordorigin="5918,4145" coordsize="4316,2607" path="m6084,6751l5918,6751,5918,6670,6084,6670,6084,6751xm7373,6521l5918,6521,5918,6442,7373,6442,7373,6521xm6026,6293l5918,6293,5918,6211,6026,6211,6026,6293xm10234,6062l5918,6062,5918,5981,10234,5981,10234,6062xm6374,5834l5918,5834,5918,5753,6374,5753,6374,5834xm8242,5604l5918,5604,5918,5522,8242,5522,8242,5604xm5947,5374l5918,5374,5918,5292,5947,5292,5947,5374xm6036,5146l5918,5146,5918,5064,6036,5064,6036,5146xm5926,4915l5918,4915,5918,4834,5926,4834,5926,4915xm5962,4687l5918,4687,5918,4606,5962,4606,5962,4687xm6103,4457l5918,4457,5918,4375,6103,4375,6103,4457xm5964,4226l5918,4226,5918,4145,5964,4145,5964,4226xe" filled="false" stroked="true" strokeweight=".75pt" strokecolor="#4f81bc">
                  <v:path arrowok="t"/>
                  <v:stroke dashstyle="solid"/>
                </v:shape>
                <v:rect style="position:absolute;left:1418;top:3100;width:9345;height:3945" id="docshape32" filled="false" stroked="true" strokeweight=".75pt" strokecolor="#d9d9d9">
                  <v:stroke dashstyle="solid"/>
                </v:rect>
                <v:shape style="position:absolute;left:1418;top:11412;width:9450;height:2550" type="#_x0000_t75" id="docshape33" stroked="false">
                  <v:imagedata r:id="rId1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316;top:3306;width:3566;height:281" type="#_x0000_t202" id="docshape34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D9D9D9"/>
                            <w:sz w:val="28"/>
                          </w:rPr>
                          <w:t>Oferta</w:t>
                        </w:r>
                        <w:r>
                          <w:rPr>
                            <w:rFonts w:ascii="Calibri" w:hAnsi="Calibri"/>
                            <w:b/>
                            <w:color w:val="D9D9D9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D9D9D9"/>
                            <w:sz w:val="28"/>
                          </w:rPr>
                          <w:t>programática</w:t>
                        </w:r>
                        <w:r>
                          <w:rPr>
                            <w:rFonts w:ascii="Calibri" w:hAnsi="Calibri"/>
                            <w:b/>
                            <w:color w:val="D9D9D9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D9D9D9"/>
                            <w:sz w:val="28"/>
                          </w:rPr>
                          <w:t>por</w:t>
                        </w:r>
                        <w:r>
                          <w:rPr>
                            <w:rFonts w:ascii="Calibri" w:hAnsi="Calibri"/>
                            <w:b/>
                            <w:color w:val="D9D9D9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D9D9D9"/>
                            <w:spacing w:val="-4"/>
                            <w:sz w:val="28"/>
                          </w:rPr>
                          <w:t>hogar</w:t>
                        </w:r>
                      </w:p>
                    </w:txbxContent>
                  </v:textbox>
                  <w10:wrap type="none"/>
                </v:shape>
                <v:shape style="position:absolute;left:1548;top:4103;width:4344;height:2705" type="#_x0000_t202" id="docshape35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138" w:firstLine="0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4"/>
                            <w:sz w:val="18"/>
                          </w:rPr>
                          <w:t>VEDA</w:t>
                        </w:r>
                      </w:p>
                      <w:p>
                        <w:pPr>
                          <w:spacing w:line="249" w:lineRule="auto" w:before="9"/>
                          <w:ind w:left="1420" w:right="139" w:firstLine="968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PROCESOS</w:t>
                        </w:r>
                        <w:r>
                          <w:rPr>
                            <w:rFonts w:ascii="Calibri"/>
                            <w:color w:val="BEBEBE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FORMATIVOS PRESTACION</w:t>
                        </w:r>
                        <w:r>
                          <w:rPr>
                            <w:rFonts w:ascii="Calibri"/>
                            <w:color w:val="BEBEBE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ALIMENTARIA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(INCISO</w:t>
                        </w:r>
                        <w:r>
                          <w:rPr>
                            <w:rFonts w:ascii="Calibri"/>
                            <w:color w:val="BEBEBE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K)</w:t>
                        </w:r>
                      </w:p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BEBEBE"/>
                            <w:sz w:val="18"/>
                          </w:rPr>
                          <w:t>GASTOS</w:t>
                        </w:r>
                        <w:r>
                          <w:rPr>
                            <w:rFonts w:ascii="Calibri" w:hAnsi="Calibri"/>
                            <w:color w:val="BEBEBE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BEBEBE"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color w:val="BEBEBE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BEBEBE"/>
                            <w:sz w:val="18"/>
                          </w:rPr>
                          <w:t>IMPLEMENTACIÓN</w:t>
                        </w:r>
                        <w:r>
                          <w:rPr>
                            <w:rFonts w:ascii="Calibri" w:hAnsi="Calibri"/>
                            <w:color w:val="BEBEBE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BEBEBE"/>
                            <w:sz w:val="18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color w:val="BEBEBE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color w:val="BEBEBE"/>
                            <w:sz w:val="18"/>
                          </w:rPr>
                          <w:t>MEJORAMIENTO</w:t>
                        </w:r>
                        <w:r>
                          <w:rPr>
                            <w:rFonts w:ascii="Calibri" w:hAnsi="Calibri"/>
                            <w:color w:val="BEBEBE"/>
                            <w:spacing w:val="-5"/>
                            <w:sz w:val="18"/>
                          </w:rPr>
                          <w:t> DE…</w:t>
                        </w:r>
                      </w:p>
                      <w:p>
                        <w:pPr>
                          <w:spacing w:before="10"/>
                          <w:ind w:left="0" w:right="140" w:firstLine="0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EMPRENDIMIENTOS</w:t>
                        </w:r>
                        <w:r>
                          <w:rPr>
                            <w:rFonts w:ascii="Calibri"/>
                            <w:color w:val="BEBEBE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PRODUCTIVOS</w:t>
                        </w:r>
                        <w:r>
                          <w:rPr>
                            <w:rFonts w:ascii="Calibri"/>
                            <w:color w:val="BEBEBE"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INDIVIDUALES</w:t>
                        </w:r>
                      </w:p>
                      <w:p>
                        <w:pPr>
                          <w:spacing w:line="249" w:lineRule="auto" w:before="10"/>
                          <w:ind w:left="1647" w:right="137" w:firstLine="1482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EMERGENCIAS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 CUIDADO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Y</w:t>
                        </w:r>
                        <w:r>
                          <w:rPr>
                            <w:rFonts w:ascii="Calibri"/>
                            <w:color w:val="BEBEBE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DESARROLLO</w:t>
                        </w:r>
                        <w:r>
                          <w:rPr>
                            <w:rFonts w:ascii="Calibri"/>
                            <w:color w:val="BEBEBE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INFANTIL</w:t>
                        </w:r>
                      </w:p>
                      <w:p>
                        <w:pPr>
                          <w:spacing w:line="249" w:lineRule="auto" w:before="2"/>
                          <w:ind w:left="3237" w:right="138" w:hanging="142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CAPACITACION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AVANCEMOS</w:t>
                        </w:r>
                      </w:p>
                      <w:p>
                        <w:pPr>
                          <w:spacing w:before="2"/>
                          <w:ind w:left="0" w:right="139" w:firstLine="0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ATENCION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DE</w:t>
                        </w:r>
                        <w:r>
                          <w:rPr>
                            <w:rFonts w:ascii="Calibri"/>
                            <w:color w:val="BEBEBE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SITUACIONES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DE</w:t>
                        </w:r>
                        <w:r>
                          <w:rPr>
                            <w:rFonts w:ascii="Calibri"/>
                            <w:color w:val="BEBEBE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VIOLENCIA</w:t>
                        </w:r>
                      </w:p>
                      <w:p>
                        <w:pPr>
                          <w:spacing w:line="249" w:lineRule="auto" w:before="0"/>
                          <w:ind w:left="1702" w:right="139" w:firstLine="848"/>
                          <w:jc w:val="righ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ATENCION</w:t>
                        </w:r>
                        <w:r>
                          <w:rPr>
                            <w:rFonts w:ascii="Calibri"/>
                            <w:color w:val="BEBEBE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A</w:t>
                        </w:r>
                        <w:r>
                          <w:rPr>
                            <w:rFonts w:ascii="Calibri"/>
                            <w:color w:val="BEBEBE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FAMILIAS ASIGNACION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FAMILIAR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color w:val="BEBEBE"/>
                            <w:sz w:val="18"/>
                          </w:rPr>
                          <w:t>(INCISO</w:t>
                        </w:r>
                        <w:r>
                          <w:rPr>
                            <w:rFonts w:ascii="Calibri"/>
                            <w:color w:val="BEBEBE"/>
                            <w:spacing w:val="-5"/>
                            <w:sz w:val="18"/>
                          </w:rPr>
                          <w:t> H)</w:t>
                        </w:r>
                      </w:p>
                    </w:txbxContent>
                  </v:textbox>
                  <w10:wrap type="none"/>
                </v:shape>
                <v:shape style="position:absolute;left:6047;top:4112;width:645;height:1328" type="#_x0000_t202" id="docshape36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38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0.50%</w:t>
                        </w:r>
                      </w:p>
                      <w:p>
                        <w:pPr>
                          <w:spacing w:before="9"/>
                          <w:ind w:left="176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2.00%</w:t>
                        </w:r>
                      </w:p>
                      <w:p>
                        <w:pPr>
                          <w:spacing w:before="10"/>
                          <w:ind w:left="34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0.46%</w:t>
                        </w:r>
                      </w:p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0.09%</w:t>
                        </w:r>
                      </w:p>
                      <w:p>
                        <w:pPr>
                          <w:spacing w:before="10"/>
                          <w:ind w:left="11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1.28%</w:t>
                        </w:r>
                      </w:p>
                      <w:p>
                        <w:pPr>
                          <w:spacing w:line="216" w:lineRule="exact" w:before="10"/>
                          <w:ind w:left="2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0.30%</w:t>
                        </w:r>
                      </w:p>
                    </w:txbxContent>
                  </v:textbox>
                  <w10:wrap type="none"/>
                </v:shape>
                <v:shape style="position:absolute;left:8363;top:5489;width:560;height:180" type="#_x0000_t202" id="docshape3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25.13%</w:t>
                        </w:r>
                      </w:p>
                    </w:txbxContent>
                  </v:textbox>
                  <w10:wrap type="none"/>
                </v:shape>
                <v:shape style="position:absolute;left:6495;top:5719;width:468;height:180" type="#_x0000_t202" id="docshape3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4.94%</w:t>
                        </w:r>
                      </w:p>
                    </w:txbxContent>
                  </v:textbox>
                  <w10:wrap type="none"/>
                </v:shape>
                <v:shape style="position:absolute;left:10166;top:5948;width:560;height:180" type="#_x0000_t202" id="docshape3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46.65%</w:t>
                        </w:r>
                      </w:p>
                    </w:txbxContent>
                  </v:textbox>
                  <w10:wrap type="none"/>
                </v:shape>
                <v:shape style="position:absolute;left:6146;top:6177;width:469;height:181" type="#_x0000_t202" id="docshape40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1.16%</w:t>
                        </w:r>
                      </w:p>
                    </w:txbxContent>
                  </v:textbox>
                  <w10:wrap type="none"/>
                </v:shape>
                <v:shape style="position:absolute;left:7492;top:6407;width:560;height:180" type="#_x0000_t202" id="docshape41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15.71%</w:t>
                        </w:r>
                      </w:p>
                    </w:txbxContent>
                  </v:textbox>
                  <w10:wrap type="none"/>
                </v:shape>
                <v:shape style="position:absolute;left:6204;top:6637;width:468;height:180" type="#_x0000_t202" id="docshape42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color w:val="BEBEBE"/>
                            <w:spacing w:val="-2"/>
                            <w:sz w:val="18"/>
                          </w:rPr>
                          <w:t>1.78%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65"/>
      </w:pPr>
    </w:p>
    <w:p>
      <w:pPr>
        <w:spacing w:before="0"/>
        <w:ind w:left="307" w:right="0" w:firstLine="0"/>
        <w:jc w:val="center"/>
        <w:rPr>
          <w:b/>
          <w:sz w:val="24"/>
        </w:rPr>
      </w:pPr>
      <w:r>
        <w:rPr>
          <w:b/>
          <w:sz w:val="24"/>
        </w:rPr>
        <w:t>Grafica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Distribución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oferta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programática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por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hogar.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6"/>
        <w:rPr>
          <w:b/>
        </w:rPr>
      </w:pPr>
    </w:p>
    <w:p>
      <w:pPr>
        <w:pStyle w:val="BodyText"/>
        <w:spacing w:before="1"/>
        <w:ind w:left="338"/>
        <w:jc w:val="both"/>
        <w:rPr>
          <w:b/>
        </w:rPr>
      </w:pPr>
      <w:r>
        <w:rPr/>
        <w:t>Sobresale</w:t>
      </w:r>
      <w:r>
        <w:rPr>
          <w:spacing w:val="-7"/>
        </w:rPr>
        <w:t> </w:t>
      </w:r>
      <w:r>
        <w:rPr/>
        <w:t>la</w:t>
      </w:r>
      <w:r>
        <w:rPr>
          <w:spacing w:val="-8"/>
        </w:rPr>
        <w:t> </w:t>
      </w:r>
      <w:r>
        <w:rPr/>
        <w:t>ejecución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Transferencia</w:t>
      </w:r>
      <w:r>
        <w:rPr>
          <w:spacing w:val="-6"/>
        </w:rPr>
        <w:t> </w:t>
      </w:r>
      <w:r>
        <w:rPr/>
        <w:t>Monetaria</w:t>
      </w:r>
      <w:r>
        <w:rPr>
          <w:spacing w:val="-4"/>
        </w:rPr>
        <w:t> </w:t>
      </w:r>
      <w:r>
        <w:rPr/>
        <w:t>Condicionada</w:t>
      </w:r>
      <w:r>
        <w:rPr>
          <w:spacing w:val="-7"/>
        </w:rPr>
        <w:t> </w:t>
      </w:r>
      <w:r>
        <w:rPr/>
        <w:t>(TMC)</w:t>
      </w:r>
      <w:r>
        <w:rPr>
          <w:spacing w:val="1"/>
        </w:rPr>
        <w:t> </w:t>
      </w:r>
      <w:r>
        <w:rPr>
          <w:b/>
          <w:spacing w:val="-2"/>
        </w:rPr>
        <w:t>Avancemos</w:t>
      </w:r>
    </w:p>
    <w:p>
      <w:pPr>
        <w:spacing w:before="52"/>
        <w:ind w:left="338" w:right="0" w:firstLine="0"/>
        <w:jc w:val="both"/>
        <w:rPr>
          <w:sz w:val="24"/>
        </w:rPr>
      </w:pPr>
      <w:r>
        <w:rPr>
          <w:sz w:val="24"/>
        </w:rPr>
        <w:t>(0002)</w:t>
      </w:r>
      <w:r>
        <w:rPr>
          <w:spacing w:val="79"/>
          <w:sz w:val="24"/>
        </w:rPr>
        <w:t> </w:t>
      </w:r>
      <w:r>
        <w:rPr>
          <w:sz w:val="24"/>
        </w:rPr>
        <w:t>que</w:t>
      </w:r>
      <w:r>
        <w:rPr>
          <w:spacing w:val="48"/>
          <w:w w:val="150"/>
          <w:sz w:val="24"/>
        </w:rPr>
        <w:t> </w:t>
      </w:r>
      <w:r>
        <w:rPr>
          <w:sz w:val="24"/>
        </w:rPr>
        <w:t>ha</w:t>
      </w:r>
      <w:r>
        <w:rPr>
          <w:spacing w:val="47"/>
          <w:w w:val="150"/>
          <w:sz w:val="24"/>
        </w:rPr>
        <w:t> </w:t>
      </w:r>
      <w:r>
        <w:rPr>
          <w:sz w:val="24"/>
        </w:rPr>
        <w:t>beneficiado</w:t>
      </w:r>
      <w:r>
        <w:rPr>
          <w:spacing w:val="50"/>
          <w:w w:val="150"/>
          <w:sz w:val="24"/>
        </w:rPr>
        <w:t> </w:t>
      </w:r>
      <w:r>
        <w:rPr>
          <w:sz w:val="24"/>
        </w:rPr>
        <w:t>a</w:t>
      </w:r>
      <w:r>
        <w:rPr>
          <w:spacing w:val="53"/>
          <w:w w:val="150"/>
          <w:sz w:val="24"/>
        </w:rPr>
        <w:t> </w:t>
      </w:r>
      <w:r>
        <w:rPr>
          <w:b/>
          <w:sz w:val="24"/>
        </w:rPr>
        <w:t>277,442</w:t>
      </w:r>
      <w:r>
        <w:rPr>
          <w:b/>
          <w:spacing w:val="51"/>
          <w:w w:val="150"/>
          <w:sz w:val="24"/>
        </w:rPr>
        <w:t> </w:t>
      </w:r>
      <w:r>
        <w:rPr>
          <w:b/>
          <w:sz w:val="24"/>
        </w:rPr>
        <w:t>personas</w:t>
      </w:r>
      <w:r>
        <w:rPr>
          <w:b/>
          <w:spacing w:val="48"/>
          <w:w w:val="150"/>
          <w:sz w:val="24"/>
        </w:rPr>
        <w:t> </w:t>
      </w:r>
      <w:r>
        <w:rPr>
          <w:b/>
          <w:sz w:val="24"/>
        </w:rPr>
        <w:t>estudiantes</w:t>
      </w:r>
      <w:r>
        <w:rPr>
          <w:b/>
          <w:spacing w:val="50"/>
          <w:w w:val="150"/>
          <w:sz w:val="24"/>
        </w:rPr>
        <w:t> </w:t>
      </w:r>
      <w:r>
        <w:rPr>
          <w:sz w:val="24"/>
        </w:rPr>
        <w:t>y</w:t>
      </w:r>
      <w:r>
        <w:rPr>
          <w:spacing w:val="49"/>
          <w:w w:val="150"/>
          <w:sz w:val="24"/>
        </w:rPr>
        <w:t> </w:t>
      </w:r>
      <w:r>
        <w:rPr>
          <w:sz w:val="24"/>
        </w:rPr>
        <w:t>se</w:t>
      </w:r>
      <w:r>
        <w:rPr>
          <w:spacing w:val="50"/>
          <w:w w:val="150"/>
          <w:sz w:val="24"/>
        </w:rPr>
        <w:t> </w:t>
      </w:r>
      <w:r>
        <w:rPr>
          <w:sz w:val="24"/>
        </w:rPr>
        <w:t>han</w:t>
      </w:r>
      <w:r>
        <w:rPr>
          <w:spacing w:val="50"/>
          <w:w w:val="150"/>
          <w:sz w:val="24"/>
        </w:rPr>
        <w:t> </w:t>
      </w:r>
      <w:r>
        <w:rPr>
          <w:spacing w:val="-2"/>
          <w:sz w:val="24"/>
        </w:rPr>
        <w:t>invertido</w:t>
      </w:r>
    </w:p>
    <w:p>
      <w:pPr>
        <w:spacing w:line="283" w:lineRule="auto" w:before="51"/>
        <w:ind w:left="338" w:right="18" w:firstLine="0"/>
        <w:jc w:val="both"/>
        <w:rPr>
          <w:sz w:val="24"/>
        </w:rPr>
      </w:pPr>
      <w:r>
        <w:rPr>
          <w:b/>
          <w:sz w:val="24"/>
        </w:rPr>
        <w:t>₡37,980,250,000</w:t>
      </w:r>
      <w:r>
        <w:rPr>
          <w:sz w:val="24"/>
        </w:rPr>
        <w:t>, representando el </w:t>
      </w:r>
      <w:r>
        <w:rPr>
          <w:b/>
          <w:sz w:val="24"/>
        </w:rPr>
        <w:t>46,65% </w:t>
      </w:r>
      <w:r>
        <w:rPr>
          <w:sz w:val="24"/>
        </w:rPr>
        <w:t>de la ejecución institucional. Asimismo, destaca el subsidio Atención a Familias (0001) con una ejecución de </w:t>
      </w:r>
      <w:r>
        <w:rPr>
          <w:b/>
          <w:sz w:val="24"/>
        </w:rPr>
        <w:t>₡13,793,781,549 </w:t>
      </w:r>
      <w:r>
        <w:rPr>
          <w:sz w:val="24"/>
        </w:rPr>
        <w:t>que ha beneficiado a </w:t>
      </w:r>
      <w:r>
        <w:rPr>
          <w:b/>
          <w:sz w:val="24"/>
        </w:rPr>
        <w:t>58,664 hogares</w:t>
      </w:r>
      <w:r>
        <w:rPr>
          <w:sz w:val="24"/>
        </w:rPr>
        <w:t>, lo que representa el </w:t>
      </w:r>
      <w:r>
        <w:rPr>
          <w:b/>
          <w:sz w:val="24"/>
        </w:rPr>
        <w:t>15,71% </w:t>
      </w:r>
      <w:r>
        <w:rPr>
          <w:sz w:val="24"/>
        </w:rPr>
        <w:t>de la ejecución institucional. También es oportuno recalcar la transferencia monetaria condicionada de </w:t>
      </w:r>
      <w:r>
        <w:rPr>
          <w:b/>
          <w:sz w:val="24"/>
        </w:rPr>
        <w:t>Cuidado y Desarrollo Infantil </w:t>
      </w:r>
      <w:r>
        <w:rPr>
          <w:sz w:val="24"/>
        </w:rPr>
        <w:t>(1016) con una ejecución de </w:t>
      </w:r>
      <w:r>
        <w:rPr>
          <w:b/>
          <w:sz w:val="24"/>
        </w:rPr>
        <w:t>₡20,457,588,845 </w:t>
      </w:r>
      <w:r>
        <w:rPr>
          <w:sz w:val="24"/>
        </w:rPr>
        <w:t>que se han utilizado para subsidiar a </w:t>
      </w:r>
      <w:r>
        <w:rPr>
          <w:b/>
          <w:sz w:val="24"/>
        </w:rPr>
        <w:t>28,716 personas</w:t>
      </w:r>
      <w:r>
        <w:rPr>
          <w:sz w:val="24"/>
        </w:rPr>
        <w:t>, constituyéndose en el </w:t>
      </w:r>
      <w:r>
        <w:rPr>
          <w:b/>
          <w:sz w:val="24"/>
        </w:rPr>
        <w:t>25,13% </w:t>
      </w:r>
      <w:r>
        <w:rPr>
          <w:sz w:val="24"/>
        </w:rPr>
        <w:t>de la ejecución institucional.</w:t>
      </w:r>
    </w:p>
    <w:p>
      <w:pPr>
        <w:spacing w:line="283" w:lineRule="auto" w:before="243"/>
        <w:ind w:left="818" w:right="512" w:firstLine="0"/>
        <w:jc w:val="center"/>
        <w:rPr>
          <w:b/>
          <w:sz w:val="24"/>
        </w:rPr>
      </w:pPr>
      <w:r>
        <w:rPr>
          <w:b/>
          <w:sz w:val="24"/>
        </w:rPr>
        <w:t>Imagen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Distribución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Avancemos,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Atención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familias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Cuidado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 Desarrollo Infantil.</w:t>
      </w:r>
    </w:p>
    <w:p>
      <w:pPr>
        <w:spacing w:after="0" w:line="283" w:lineRule="auto"/>
        <w:jc w:val="center"/>
        <w:rPr>
          <w:b/>
          <w:sz w:val="24"/>
        </w:rPr>
        <w:sectPr>
          <w:pgSz w:w="12240" w:h="15840"/>
          <w:pgMar w:top="1820" w:bottom="280" w:left="1080" w:right="1440"/>
        </w:sectPr>
      </w:pPr>
    </w:p>
    <w:p>
      <w:pPr>
        <w:pStyle w:val="BodyText"/>
        <w:spacing w:line="280" w:lineRule="auto" w:before="151"/>
        <w:ind w:left="338" w:right="2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7024">
                <wp:simplePos x="0" y="0"/>
                <wp:positionH relativeFrom="page">
                  <wp:posOffset>0</wp:posOffset>
                </wp:positionH>
                <wp:positionV relativeFrom="page">
                  <wp:posOffset>469022</wp:posOffset>
                </wp:positionV>
                <wp:extent cx="7772400" cy="958977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7772400" cy="9589770"/>
                          <a:chExt cx="7772400" cy="958977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5893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429" y="2316849"/>
                            <a:ext cx="5939790" cy="3847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36.930885pt;width:612pt;height:755.1pt;mso-position-horizontal-relative:page;mso-position-vertical-relative:page;z-index:-16019456" id="docshapegroup43" coordorigin="0,739" coordsize="12240,15102">
                <v:shape style="position:absolute;left:0;top:738;width:12240;height:15102" type="#_x0000_t75" id="docshape44" stroked="false">
                  <v:imagedata r:id="rId6" o:title=""/>
                </v:shape>
                <v:shape style="position:absolute;left:1418;top:4387;width:9354;height:6059" type="#_x0000_t75" id="docshape45" stroked="false">
                  <v:imagedata r:id="rId20" o:title=""/>
                </v:shape>
                <w10:wrap type="none"/>
              </v:group>
            </w:pict>
          </mc:Fallback>
        </mc:AlternateContent>
      </w:r>
      <w:r>
        <w:rPr/>
        <w:t>En lo que refiere a la distribución de población beneficiaria y ejecución presupuestaria según el Área Regional de Desarrollo Social, la mayor ejecución se ubica en las Áreas Central Occidente </w:t>
      </w:r>
      <w:r>
        <w:rPr>
          <w:b/>
        </w:rPr>
        <w:t>12,85%, </w:t>
      </w:r>
      <w:r>
        <w:rPr/>
        <w:t>Huetar Norte </w:t>
      </w:r>
      <w:r>
        <w:rPr>
          <w:b/>
        </w:rPr>
        <w:t>12,43%, </w:t>
      </w:r>
      <w:r>
        <w:rPr/>
        <w:t>y Noreste </w:t>
      </w:r>
      <w:r>
        <w:rPr>
          <w:b/>
        </w:rPr>
        <w:t>12,35%. </w:t>
      </w:r>
      <w:r>
        <w:rPr/>
        <w:t>Si se visualiza a nivel de las distintas Áreas Regionales Desarrollo Social, esta es la distribución de su ejecución presupuestaria.</w:t>
      </w:r>
    </w:p>
    <w:p>
      <w:pPr>
        <w:spacing w:before="238"/>
        <w:ind w:left="313" w:right="0" w:firstLine="0"/>
        <w:jc w:val="center"/>
        <w:rPr>
          <w:b/>
          <w:sz w:val="24"/>
        </w:rPr>
      </w:pPr>
      <w:r>
        <w:rPr>
          <w:b/>
          <w:sz w:val="24"/>
        </w:rPr>
        <w:t>Imagen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Mapa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distribución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Areas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Regionales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Desarrollo</w:t>
      </w:r>
      <w:r>
        <w:rPr>
          <w:b/>
          <w:spacing w:val="-2"/>
          <w:sz w:val="24"/>
        </w:rPr>
        <w:t> Social.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spacing w:line="278" w:lineRule="auto"/>
        <w:ind w:left="338" w:right="31"/>
        <w:jc w:val="both"/>
      </w:pPr>
      <w:r>
        <w:rPr/>
        <w:t>En cuanto a grupos de población de interés según diversa normativa de derechos humanos aplicable, se indica la cantidad de personas que han sido beneficiarias con la oferta programática institucional.</w:t>
      </w:r>
    </w:p>
    <w:p>
      <w:pPr>
        <w:spacing w:before="245"/>
        <w:ind w:left="309" w:right="0" w:firstLine="0"/>
        <w:jc w:val="center"/>
        <w:rPr>
          <w:b/>
          <w:sz w:val="24"/>
        </w:rPr>
      </w:pPr>
      <w:r>
        <w:rPr>
          <w:b/>
          <w:sz w:val="24"/>
        </w:rPr>
        <w:t>Cuadro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Ejecución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poblaciones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interés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IMAS.</w:t>
      </w:r>
    </w:p>
    <w:p>
      <w:pPr>
        <w:pStyle w:val="BodyText"/>
        <w:spacing w:before="58"/>
        <w:rPr>
          <w:b/>
          <w:sz w:val="20"/>
        </w:rPr>
      </w:pPr>
    </w:p>
    <w:tbl>
      <w:tblPr>
        <w:tblW w:w="0" w:type="auto"/>
        <w:jc w:val="left"/>
        <w:tblInd w:w="3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9"/>
        <w:gridCol w:w="2170"/>
        <w:gridCol w:w="1692"/>
        <w:gridCol w:w="1767"/>
      </w:tblGrid>
      <w:tr>
        <w:trPr>
          <w:trHeight w:val="464" w:hRule="atLeast"/>
        </w:trPr>
        <w:tc>
          <w:tcPr>
            <w:tcW w:w="3709" w:type="dxa"/>
            <w:shd w:val="clear" w:color="auto" w:fill="234060"/>
          </w:tcPr>
          <w:p>
            <w:pPr>
              <w:pStyle w:val="TableParagraph"/>
              <w:spacing w:before="140"/>
              <w:ind w:left="14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Población</w:t>
            </w:r>
          </w:p>
        </w:tc>
        <w:tc>
          <w:tcPr>
            <w:tcW w:w="2170" w:type="dxa"/>
            <w:shd w:val="clear" w:color="auto" w:fill="234060"/>
          </w:tcPr>
          <w:p>
            <w:pPr>
              <w:pStyle w:val="TableParagraph"/>
              <w:spacing w:before="140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Unidad</w:t>
            </w:r>
          </w:p>
        </w:tc>
        <w:tc>
          <w:tcPr>
            <w:tcW w:w="1692" w:type="dxa"/>
            <w:shd w:val="clear" w:color="auto" w:fill="234060"/>
          </w:tcPr>
          <w:p>
            <w:pPr>
              <w:pStyle w:val="TableParagraph"/>
              <w:spacing w:before="140"/>
              <w:ind w:left="18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Cantidad</w:t>
            </w:r>
          </w:p>
        </w:tc>
        <w:tc>
          <w:tcPr>
            <w:tcW w:w="1767" w:type="dxa"/>
            <w:shd w:val="clear" w:color="auto" w:fill="234060"/>
          </w:tcPr>
          <w:p>
            <w:pPr>
              <w:pStyle w:val="TableParagraph"/>
              <w:spacing w:before="140"/>
              <w:ind w:left="21" w:right="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Monto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Entregado</w:t>
            </w:r>
          </w:p>
        </w:tc>
      </w:tr>
      <w:tr>
        <w:trPr>
          <w:trHeight w:val="313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before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Personas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con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Discapacidad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65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692" w:type="dxa"/>
          </w:tcPr>
          <w:p>
            <w:pPr>
              <w:pStyle w:val="TableParagraph"/>
              <w:spacing w:before="63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>31,182</w:t>
            </w:r>
          </w:p>
        </w:tc>
        <w:tc>
          <w:tcPr>
            <w:tcW w:w="1767" w:type="dxa"/>
          </w:tcPr>
          <w:p>
            <w:pPr>
              <w:pStyle w:val="TableParagraph"/>
              <w:spacing w:before="63"/>
              <w:ind w:left="21"/>
              <w:rPr>
                <w:sz w:val="16"/>
              </w:rPr>
            </w:pPr>
            <w:r>
              <w:rPr>
                <w:spacing w:val="-2"/>
                <w:sz w:val="16"/>
              </w:rPr>
              <w:t>6,124,944,677</w:t>
            </w:r>
          </w:p>
        </w:tc>
      </w:tr>
      <w:tr>
        <w:trPr>
          <w:trHeight w:val="315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before="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Personas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Adultas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Mayores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68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692" w:type="dxa"/>
          </w:tcPr>
          <w:p>
            <w:pPr>
              <w:pStyle w:val="TableParagraph"/>
              <w:spacing w:before="65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>31,413</w:t>
            </w:r>
          </w:p>
        </w:tc>
        <w:tc>
          <w:tcPr>
            <w:tcW w:w="1767" w:type="dxa"/>
          </w:tcPr>
          <w:p>
            <w:pPr>
              <w:pStyle w:val="TableParagraph"/>
              <w:spacing w:before="65"/>
              <w:ind w:left="21"/>
              <w:rPr>
                <w:sz w:val="16"/>
              </w:rPr>
            </w:pPr>
            <w:r>
              <w:rPr>
                <w:spacing w:val="-2"/>
                <w:sz w:val="16"/>
              </w:rPr>
              <w:t>6,613,632,737</w:t>
            </w:r>
          </w:p>
        </w:tc>
      </w:tr>
      <w:tr>
        <w:trPr>
          <w:trHeight w:val="315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before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Personas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Indígenas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65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692" w:type="dxa"/>
          </w:tcPr>
          <w:p>
            <w:pPr>
              <w:pStyle w:val="TableParagraph"/>
              <w:spacing w:before="63"/>
              <w:ind w:left="18" w:right="2"/>
              <w:rPr>
                <w:sz w:val="16"/>
              </w:rPr>
            </w:pPr>
            <w:r>
              <w:rPr>
                <w:spacing w:val="-2"/>
                <w:sz w:val="16"/>
              </w:rPr>
              <w:t>17,536</w:t>
            </w:r>
          </w:p>
        </w:tc>
        <w:tc>
          <w:tcPr>
            <w:tcW w:w="1767" w:type="dxa"/>
          </w:tcPr>
          <w:p>
            <w:pPr>
              <w:pStyle w:val="TableParagraph"/>
              <w:spacing w:before="63"/>
              <w:ind w:left="21"/>
              <w:rPr>
                <w:sz w:val="16"/>
              </w:rPr>
            </w:pPr>
            <w:r>
              <w:rPr>
                <w:spacing w:val="-2"/>
                <w:sz w:val="16"/>
              </w:rPr>
              <w:t>2,867,881,923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2240" w:h="15840"/>
          <w:pgMar w:top="1820" w:bottom="280" w:left="1080" w:right="1440"/>
        </w:sectPr>
      </w:pPr>
    </w:p>
    <w:p>
      <w:pPr>
        <w:pStyle w:val="BodyText"/>
        <w:spacing w:before="3"/>
        <w:rPr>
          <w:b/>
          <w:sz w:val="13"/>
        </w:rPr>
      </w:pPr>
      <w:r>
        <w:rPr>
          <w:b/>
          <w:sz w:val="13"/>
        </w:rPr>
        <w:drawing>
          <wp:anchor distT="0" distB="0" distL="0" distR="0" allowOverlap="1" layoutInCell="1" locked="0" behindDoc="1" simplePos="0" relativeHeight="487297536">
            <wp:simplePos x="0" y="0"/>
            <wp:positionH relativeFrom="page">
              <wp:posOffset>0</wp:posOffset>
            </wp:positionH>
            <wp:positionV relativeFrom="page">
              <wp:posOffset>469022</wp:posOffset>
            </wp:positionV>
            <wp:extent cx="7772400" cy="9589374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89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3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9"/>
        <w:gridCol w:w="2170"/>
        <w:gridCol w:w="1692"/>
        <w:gridCol w:w="1767"/>
      </w:tblGrid>
      <w:tr>
        <w:trPr>
          <w:trHeight w:val="464" w:hRule="atLeast"/>
        </w:trPr>
        <w:tc>
          <w:tcPr>
            <w:tcW w:w="3709" w:type="dxa"/>
            <w:shd w:val="clear" w:color="auto" w:fill="234060"/>
          </w:tcPr>
          <w:p>
            <w:pPr>
              <w:pStyle w:val="TableParagraph"/>
              <w:spacing w:before="142"/>
              <w:ind w:left="14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Población</w:t>
            </w:r>
          </w:p>
        </w:tc>
        <w:tc>
          <w:tcPr>
            <w:tcW w:w="2170" w:type="dxa"/>
            <w:shd w:val="clear" w:color="auto" w:fill="234060"/>
          </w:tcPr>
          <w:p>
            <w:pPr>
              <w:pStyle w:val="TableParagraph"/>
              <w:spacing w:before="142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Unidad</w:t>
            </w:r>
          </w:p>
        </w:tc>
        <w:tc>
          <w:tcPr>
            <w:tcW w:w="1692" w:type="dxa"/>
            <w:shd w:val="clear" w:color="auto" w:fill="234060"/>
          </w:tcPr>
          <w:p>
            <w:pPr>
              <w:pStyle w:val="TableParagraph"/>
              <w:spacing w:before="142"/>
              <w:ind w:left="18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Cantidad</w:t>
            </w:r>
          </w:p>
        </w:tc>
        <w:tc>
          <w:tcPr>
            <w:tcW w:w="1767" w:type="dxa"/>
            <w:shd w:val="clear" w:color="auto" w:fill="234060"/>
          </w:tcPr>
          <w:p>
            <w:pPr>
              <w:pStyle w:val="TableParagraph"/>
              <w:spacing w:before="142"/>
              <w:ind w:left="21" w:right="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Monto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Entregado</w:t>
            </w:r>
          </w:p>
        </w:tc>
      </w:tr>
      <w:tr>
        <w:trPr>
          <w:trHeight w:val="315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before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Personas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Afrodescendientes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65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692" w:type="dxa"/>
          </w:tcPr>
          <w:p>
            <w:pPr>
              <w:pStyle w:val="TableParagraph"/>
              <w:spacing w:before="65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6,291</w:t>
            </w:r>
          </w:p>
        </w:tc>
        <w:tc>
          <w:tcPr>
            <w:tcW w:w="1767" w:type="dxa"/>
          </w:tcPr>
          <w:p>
            <w:pPr>
              <w:pStyle w:val="TableParagraph"/>
              <w:spacing w:before="65"/>
              <w:ind w:left="21"/>
              <w:rPr>
                <w:sz w:val="16"/>
              </w:rPr>
            </w:pPr>
            <w:r>
              <w:rPr>
                <w:spacing w:val="-2"/>
                <w:sz w:val="16"/>
              </w:rPr>
              <w:t>1,328,855,988</w:t>
            </w:r>
          </w:p>
        </w:tc>
      </w:tr>
      <w:tr>
        <w:trPr>
          <w:trHeight w:val="464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before="14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Personas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Jóvenes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(12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los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35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años)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140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692" w:type="dxa"/>
          </w:tcPr>
          <w:p>
            <w:pPr>
              <w:pStyle w:val="TableParagraph"/>
              <w:spacing w:before="137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222,229</w:t>
            </w:r>
          </w:p>
        </w:tc>
        <w:tc>
          <w:tcPr>
            <w:tcW w:w="1767" w:type="dxa"/>
          </w:tcPr>
          <w:p>
            <w:pPr>
              <w:pStyle w:val="TableParagraph"/>
              <w:spacing w:before="137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>37,661,298,283</w:t>
            </w:r>
          </w:p>
        </w:tc>
      </w:tr>
      <w:tr>
        <w:trPr>
          <w:trHeight w:val="313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before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Hogares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con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Jefatura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Femenina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65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Hogares</w:t>
            </w:r>
          </w:p>
        </w:tc>
        <w:tc>
          <w:tcPr>
            <w:tcW w:w="1692" w:type="dxa"/>
          </w:tcPr>
          <w:p>
            <w:pPr>
              <w:pStyle w:val="TableParagraph"/>
              <w:spacing w:before="63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182,558</w:t>
            </w:r>
          </w:p>
        </w:tc>
        <w:tc>
          <w:tcPr>
            <w:tcW w:w="1767" w:type="dxa"/>
          </w:tcPr>
          <w:p>
            <w:pPr>
              <w:pStyle w:val="TableParagraph"/>
              <w:spacing w:before="63"/>
              <w:ind w:left="21" w:right="3"/>
              <w:rPr>
                <w:sz w:val="16"/>
              </w:rPr>
            </w:pPr>
            <w:r>
              <w:rPr>
                <w:spacing w:val="-2"/>
                <w:sz w:val="16"/>
              </w:rPr>
              <w:t>63,119,635,818</w:t>
            </w:r>
          </w:p>
        </w:tc>
      </w:tr>
      <w:tr>
        <w:trPr>
          <w:trHeight w:val="464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line="249" w:lineRule="auto" w:before="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Hogares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asociados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conflicto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Ley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Código especial 210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142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Hogares</w:t>
            </w:r>
          </w:p>
        </w:tc>
        <w:tc>
          <w:tcPr>
            <w:tcW w:w="1692" w:type="dxa"/>
          </w:tcPr>
          <w:p>
            <w:pPr>
              <w:pStyle w:val="TableParagraph"/>
              <w:spacing w:before="140"/>
              <w:ind w:left="18"/>
              <w:rPr>
                <w:sz w:val="16"/>
              </w:rPr>
            </w:pPr>
            <w:r>
              <w:rPr>
                <w:spacing w:val="-5"/>
                <w:sz w:val="16"/>
              </w:rPr>
              <w:t>514</w:t>
            </w:r>
          </w:p>
        </w:tc>
        <w:tc>
          <w:tcPr>
            <w:tcW w:w="1767" w:type="dxa"/>
          </w:tcPr>
          <w:p>
            <w:pPr>
              <w:pStyle w:val="TableParagraph"/>
              <w:spacing w:before="140"/>
              <w:ind w:left="21" w:right="5"/>
              <w:rPr>
                <w:sz w:val="16"/>
              </w:rPr>
            </w:pPr>
            <w:r>
              <w:rPr>
                <w:spacing w:val="-2"/>
                <w:sz w:val="16"/>
              </w:rPr>
              <w:t>217,631,133</w:t>
            </w:r>
          </w:p>
        </w:tc>
      </w:tr>
      <w:tr>
        <w:trPr>
          <w:trHeight w:val="690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line="249" w:lineRule="auto" w:before="1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Hogares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asociados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Víctimas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Femicidio Código especial 287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71"/>
              <w:ind w:left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Hogares</w:t>
            </w:r>
          </w:p>
        </w:tc>
        <w:tc>
          <w:tcPr>
            <w:tcW w:w="1692" w:type="dxa"/>
          </w:tcPr>
          <w:p>
            <w:pPr>
              <w:pStyle w:val="TableParagraph"/>
              <w:spacing w:before="68"/>
              <w:ind w:left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18" w:right="3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767" w:type="dxa"/>
          </w:tcPr>
          <w:p>
            <w:pPr>
              <w:pStyle w:val="TableParagraph"/>
              <w:spacing w:before="68"/>
              <w:ind w:left="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1" w:right="2"/>
              <w:rPr>
                <w:sz w:val="16"/>
              </w:rPr>
            </w:pPr>
            <w:r>
              <w:rPr>
                <w:spacing w:val="-2"/>
                <w:sz w:val="16"/>
              </w:rPr>
              <w:t>29,314,152</w:t>
            </w:r>
          </w:p>
        </w:tc>
      </w:tr>
      <w:tr>
        <w:trPr>
          <w:trHeight w:val="316" w:hRule="atLeast"/>
        </w:trPr>
        <w:tc>
          <w:tcPr>
            <w:tcW w:w="3709" w:type="dxa"/>
            <w:shd w:val="clear" w:color="auto" w:fill="FFFFFF"/>
          </w:tcPr>
          <w:p>
            <w:pPr>
              <w:pStyle w:val="TableParagraph"/>
              <w:spacing w:before="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Personas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Refugiadas</w:t>
            </w:r>
          </w:p>
        </w:tc>
        <w:tc>
          <w:tcPr>
            <w:tcW w:w="2170" w:type="dxa"/>
            <w:shd w:val="clear" w:color="auto" w:fill="FFFFFF"/>
          </w:tcPr>
          <w:p>
            <w:pPr>
              <w:pStyle w:val="TableParagraph"/>
              <w:spacing w:before="68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692" w:type="dxa"/>
          </w:tcPr>
          <w:p>
            <w:pPr>
              <w:pStyle w:val="TableParagraph"/>
              <w:spacing w:before="65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2,924</w:t>
            </w:r>
          </w:p>
        </w:tc>
        <w:tc>
          <w:tcPr>
            <w:tcW w:w="1767" w:type="dxa"/>
          </w:tcPr>
          <w:p>
            <w:pPr>
              <w:pStyle w:val="TableParagraph"/>
              <w:spacing w:before="65"/>
              <w:ind w:left="21" w:right="5"/>
              <w:rPr>
                <w:sz w:val="16"/>
              </w:rPr>
            </w:pPr>
            <w:r>
              <w:rPr>
                <w:spacing w:val="-2"/>
                <w:sz w:val="16"/>
              </w:rPr>
              <w:t>607,806,714</w:t>
            </w:r>
          </w:p>
        </w:tc>
      </w:tr>
    </w:tbl>
    <w:p>
      <w:pPr>
        <w:pStyle w:val="BodyText"/>
        <w:spacing w:line="285" w:lineRule="auto" w:before="2"/>
        <w:ind w:left="338" w:right="21"/>
        <w:jc w:val="both"/>
        <w:rPr>
          <w:b/>
        </w:rPr>
      </w:pPr>
      <w:r>
        <w:rPr/>
        <w:t>Con respecto a las personas institucionalizadas y sin domicilio fijo (FISI), acumulado al primer</w:t>
      </w:r>
      <w:r>
        <w:rPr>
          <w:spacing w:val="-9"/>
        </w:rPr>
        <w:t> </w:t>
      </w:r>
      <w:r>
        <w:rPr/>
        <w:t>semestre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2026,</w:t>
      </w:r>
      <w:r>
        <w:rPr>
          <w:spacing w:val="-8"/>
        </w:rPr>
        <w:t> </w:t>
      </w:r>
      <w:r>
        <w:rPr/>
        <w:t>se</w:t>
      </w:r>
      <w:r>
        <w:rPr>
          <w:spacing w:val="-8"/>
        </w:rPr>
        <w:t> </w:t>
      </w:r>
      <w:r>
        <w:rPr/>
        <w:t>realizaron</w:t>
      </w:r>
      <w:r>
        <w:rPr>
          <w:spacing w:val="-9"/>
        </w:rPr>
        <w:t> </w:t>
      </w:r>
      <w:r>
        <w:rPr>
          <w:b/>
        </w:rPr>
        <w:t>916</w:t>
      </w:r>
      <w:r>
        <w:rPr>
          <w:b/>
          <w:spacing w:val="-8"/>
        </w:rPr>
        <w:t> </w:t>
      </w:r>
      <w:r>
        <w:rPr/>
        <w:t>registros,</w:t>
      </w:r>
      <w:r>
        <w:rPr>
          <w:spacing w:val="-8"/>
        </w:rPr>
        <w:t> </w:t>
      </w:r>
      <w:r>
        <w:rPr/>
        <w:t>ya</w:t>
      </w:r>
      <w:r>
        <w:rPr>
          <w:spacing w:val="-8"/>
        </w:rPr>
        <w:t> </w:t>
      </w:r>
      <w:r>
        <w:rPr/>
        <w:t>sean</w:t>
      </w:r>
      <w:r>
        <w:rPr>
          <w:spacing w:val="-10"/>
        </w:rPr>
        <w:t> </w:t>
      </w:r>
      <w:r>
        <w:rPr/>
        <w:t>nuevos</w:t>
      </w:r>
      <w:r>
        <w:rPr>
          <w:spacing w:val="-9"/>
        </w:rPr>
        <w:t> </w:t>
      </w:r>
      <w:r>
        <w:rPr/>
        <w:t>o</w:t>
      </w:r>
      <w:r>
        <w:rPr>
          <w:spacing w:val="-10"/>
        </w:rPr>
        <w:t> </w:t>
      </w:r>
      <w:r>
        <w:rPr/>
        <w:t>actualizaciones, esto principalmente en las ARDS Noreste </w:t>
      </w:r>
      <w:r>
        <w:rPr>
          <w:b/>
        </w:rPr>
        <w:t>38,10%</w:t>
      </w:r>
      <w:r>
        <w:rPr/>
        <w:t>, ARDS Central Occidente </w:t>
      </w:r>
      <w:r>
        <w:rPr>
          <w:b/>
        </w:rPr>
        <w:t>14,62% </w:t>
      </w:r>
      <w:r>
        <w:rPr/>
        <w:t>y ARDS Puntarenas </w:t>
      </w:r>
      <w:r>
        <w:rPr>
          <w:b/>
        </w:rPr>
        <w:t>11,65%.</w:t>
      </w:r>
    </w:p>
    <w:p>
      <w:pPr>
        <w:pStyle w:val="BodyText"/>
        <w:spacing w:before="52"/>
        <w:rPr>
          <w:b/>
        </w:rPr>
      </w:pPr>
    </w:p>
    <w:p>
      <w:pPr>
        <w:spacing w:before="0"/>
        <w:ind w:left="311" w:right="0" w:firstLine="0"/>
        <w:jc w:val="center"/>
        <w:rPr>
          <w:b/>
          <w:sz w:val="24"/>
        </w:rPr>
      </w:pPr>
      <w:r>
        <w:rPr>
          <w:b/>
          <w:sz w:val="24"/>
        </w:rPr>
        <w:t>Cuadro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Aplicación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FISI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primer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semestre.</w:t>
      </w:r>
    </w:p>
    <w:p>
      <w:pPr>
        <w:pStyle w:val="BodyText"/>
        <w:spacing w:before="144"/>
        <w:rPr>
          <w:b/>
          <w:sz w:val="20"/>
        </w:rPr>
      </w:pPr>
    </w:p>
    <w:tbl>
      <w:tblPr>
        <w:tblW w:w="0" w:type="auto"/>
        <w:jc w:val="left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5"/>
        <w:gridCol w:w="1160"/>
        <w:gridCol w:w="1921"/>
        <w:gridCol w:w="1676"/>
        <w:gridCol w:w="1568"/>
      </w:tblGrid>
      <w:tr>
        <w:trPr>
          <w:trHeight w:val="256" w:hRule="atLeast"/>
        </w:trPr>
        <w:tc>
          <w:tcPr>
            <w:tcW w:w="3025" w:type="dxa"/>
            <w:shd w:val="clear" w:color="auto" w:fill="153C63"/>
          </w:tcPr>
          <w:p>
            <w:pPr>
              <w:pStyle w:val="TableParagraph"/>
              <w:spacing w:line="215" w:lineRule="exact"/>
              <w:ind w:left="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ARDS</w:t>
            </w:r>
          </w:p>
        </w:tc>
        <w:tc>
          <w:tcPr>
            <w:tcW w:w="1160" w:type="dxa"/>
            <w:shd w:val="clear" w:color="auto" w:fill="153C63"/>
          </w:tcPr>
          <w:p>
            <w:pPr>
              <w:pStyle w:val="TableParagraph"/>
              <w:spacing w:line="215" w:lineRule="exact"/>
              <w:ind w:left="5" w:right="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N°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Folio</w:t>
            </w:r>
          </w:p>
        </w:tc>
        <w:tc>
          <w:tcPr>
            <w:tcW w:w="1921" w:type="dxa"/>
            <w:shd w:val="clear" w:color="auto" w:fill="153C63"/>
          </w:tcPr>
          <w:p>
            <w:pPr>
              <w:pStyle w:val="TableParagraph"/>
              <w:spacing w:line="215" w:lineRule="exact"/>
              <w:ind w:left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N°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Expediente</w:t>
            </w:r>
          </w:p>
        </w:tc>
        <w:tc>
          <w:tcPr>
            <w:tcW w:w="1676" w:type="dxa"/>
            <w:shd w:val="clear" w:color="auto" w:fill="153C63"/>
          </w:tcPr>
          <w:p>
            <w:pPr>
              <w:pStyle w:val="TableParagraph"/>
              <w:spacing w:line="215" w:lineRule="exact"/>
              <w:ind w:left="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N°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Personas</w:t>
            </w:r>
          </w:p>
        </w:tc>
        <w:tc>
          <w:tcPr>
            <w:tcW w:w="1568" w:type="dxa"/>
            <w:shd w:val="clear" w:color="auto" w:fill="153C63"/>
          </w:tcPr>
          <w:p>
            <w:pPr>
              <w:pStyle w:val="TableParagraph"/>
              <w:spacing w:line="215" w:lineRule="exact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Porcentaje</w:t>
            </w:r>
          </w:p>
        </w:tc>
      </w:tr>
      <w:tr>
        <w:trPr>
          <w:trHeight w:val="253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BRUNCA</w:t>
            </w:r>
          </w:p>
        </w:tc>
        <w:tc>
          <w:tcPr>
            <w:tcW w:w="1160" w:type="dxa"/>
          </w:tcPr>
          <w:p>
            <w:pPr>
              <w:pStyle w:val="TableParagraph"/>
              <w:spacing w:line="213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1921" w:type="dxa"/>
          </w:tcPr>
          <w:p>
            <w:pPr>
              <w:pStyle w:val="TableParagraph"/>
              <w:spacing w:line="213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1676" w:type="dxa"/>
          </w:tcPr>
          <w:p>
            <w:pPr>
              <w:pStyle w:val="TableParagraph"/>
              <w:spacing w:line="213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1568" w:type="dxa"/>
          </w:tcPr>
          <w:p>
            <w:pPr>
              <w:pStyle w:val="TableParagraph"/>
              <w:spacing w:line="213" w:lineRule="exact"/>
              <w:ind w:left="1" w:right="2"/>
              <w:rPr>
                <w:sz w:val="20"/>
              </w:rPr>
            </w:pPr>
            <w:r>
              <w:rPr>
                <w:spacing w:val="-2"/>
                <w:sz w:val="20"/>
              </w:rPr>
              <w:t>5.61%</w:t>
            </w:r>
          </w:p>
        </w:tc>
      </w:tr>
      <w:tr>
        <w:trPr>
          <w:trHeight w:val="254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CARTAGO</w:t>
            </w:r>
          </w:p>
        </w:tc>
        <w:tc>
          <w:tcPr>
            <w:tcW w:w="1160" w:type="dxa"/>
          </w:tcPr>
          <w:p>
            <w:pPr>
              <w:pStyle w:val="TableParagraph"/>
              <w:spacing w:line="213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921" w:type="dxa"/>
          </w:tcPr>
          <w:p>
            <w:pPr>
              <w:pStyle w:val="TableParagraph"/>
              <w:spacing w:line="213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676" w:type="dxa"/>
          </w:tcPr>
          <w:p>
            <w:pPr>
              <w:pStyle w:val="TableParagraph"/>
              <w:spacing w:line="213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568" w:type="dxa"/>
          </w:tcPr>
          <w:p>
            <w:pPr>
              <w:pStyle w:val="TableParagraph"/>
              <w:spacing w:line="213" w:lineRule="exact"/>
              <w:ind w:left="1" w:right="2"/>
              <w:rPr>
                <w:sz w:val="20"/>
              </w:rPr>
            </w:pPr>
            <w:r>
              <w:rPr>
                <w:spacing w:val="-2"/>
                <w:sz w:val="20"/>
              </w:rPr>
              <w:t>6.72%</w:t>
            </w:r>
          </w:p>
        </w:tc>
      </w:tr>
      <w:tr>
        <w:trPr>
          <w:trHeight w:val="256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 w:before="2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CENTRAL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OCCIDENTE</w:t>
            </w:r>
          </w:p>
        </w:tc>
        <w:tc>
          <w:tcPr>
            <w:tcW w:w="1160" w:type="dxa"/>
          </w:tcPr>
          <w:p>
            <w:pPr>
              <w:pStyle w:val="TableParagraph"/>
              <w:spacing w:line="213" w:lineRule="exact" w:before="23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1921" w:type="dxa"/>
          </w:tcPr>
          <w:p>
            <w:pPr>
              <w:pStyle w:val="TableParagraph"/>
              <w:spacing w:line="213" w:lineRule="exact" w:before="23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1676" w:type="dxa"/>
          </w:tcPr>
          <w:p>
            <w:pPr>
              <w:pStyle w:val="TableParagraph"/>
              <w:spacing w:line="213" w:lineRule="exact" w:before="23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1568" w:type="dxa"/>
          </w:tcPr>
          <w:p>
            <w:pPr>
              <w:pStyle w:val="TableParagraph"/>
              <w:spacing w:line="213" w:lineRule="exact" w:before="23"/>
              <w:ind w:left="2" w:right="1"/>
              <w:rPr>
                <w:sz w:val="20"/>
              </w:rPr>
            </w:pPr>
            <w:r>
              <w:rPr>
                <w:spacing w:val="-2"/>
                <w:sz w:val="20"/>
              </w:rPr>
              <w:t>14.62%</w:t>
            </w:r>
          </w:p>
        </w:tc>
      </w:tr>
      <w:tr>
        <w:trPr>
          <w:trHeight w:val="254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CHOROTEGA</w:t>
            </w:r>
          </w:p>
        </w:tc>
        <w:tc>
          <w:tcPr>
            <w:tcW w:w="1160" w:type="dxa"/>
          </w:tcPr>
          <w:p>
            <w:pPr>
              <w:pStyle w:val="TableParagraph"/>
              <w:spacing w:line="213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921" w:type="dxa"/>
          </w:tcPr>
          <w:p>
            <w:pPr>
              <w:pStyle w:val="TableParagraph"/>
              <w:spacing w:line="213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676" w:type="dxa"/>
          </w:tcPr>
          <w:p>
            <w:pPr>
              <w:pStyle w:val="TableParagraph"/>
              <w:spacing w:line="213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568" w:type="dxa"/>
          </w:tcPr>
          <w:p>
            <w:pPr>
              <w:pStyle w:val="TableParagraph"/>
              <w:spacing w:line="213" w:lineRule="exact"/>
              <w:ind w:left="1" w:right="2"/>
              <w:rPr>
                <w:sz w:val="20"/>
              </w:rPr>
            </w:pPr>
            <w:r>
              <w:rPr>
                <w:spacing w:val="-2"/>
                <w:sz w:val="20"/>
              </w:rPr>
              <w:t>3.67%</w:t>
            </w:r>
          </w:p>
        </w:tc>
      </w:tr>
      <w:tr>
        <w:trPr>
          <w:trHeight w:val="256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 w:before="2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HUETAR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CARIBE</w:t>
            </w:r>
          </w:p>
        </w:tc>
        <w:tc>
          <w:tcPr>
            <w:tcW w:w="1160" w:type="dxa"/>
          </w:tcPr>
          <w:p>
            <w:pPr>
              <w:pStyle w:val="TableParagraph"/>
              <w:spacing w:line="215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921" w:type="dxa"/>
          </w:tcPr>
          <w:p>
            <w:pPr>
              <w:pStyle w:val="TableParagraph"/>
              <w:spacing w:line="215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676" w:type="dxa"/>
          </w:tcPr>
          <w:p>
            <w:pPr>
              <w:pStyle w:val="TableParagraph"/>
              <w:spacing w:line="215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568" w:type="dxa"/>
          </w:tcPr>
          <w:p>
            <w:pPr>
              <w:pStyle w:val="TableParagraph"/>
              <w:spacing w:line="215" w:lineRule="exact"/>
              <w:ind w:left="1" w:right="2"/>
              <w:rPr>
                <w:sz w:val="20"/>
              </w:rPr>
            </w:pPr>
            <w:r>
              <w:rPr>
                <w:spacing w:val="-2"/>
                <w:sz w:val="20"/>
              </w:rPr>
              <w:t>3.32%</w:t>
            </w:r>
          </w:p>
        </w:tc>
      </w:tr>
      <w:tr>
        <w:trPr>
          <w:trHeight w:val="254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HUETAR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NORTE</w:t>
            </w:r>
          </w:p>
        </w:tc>
        <w:tc>
          <w:tcPr>
            <w:tcW w:w="1160" w:type="dxa"/>
          </w:tcPr>
          <w:p>
            <w:pPr>
              <w:pStyle w:val="TableParagraph"/>
              <w:spacing w:line="213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1921" w:type="dxa"/>
          </w:tcPr>
          <w:p>
            <w:pPr>
              <w:pStyle w:val="TableParagraph"/>
              <w:spacing w:line="213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1676" w:type="dxa"/>
          </w:tcPr>
          <w:p>
            <w:pPr>
              <w:pStyle w:val="TableParagraph"/>
              <w:spacing w:line="213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1568" w:type="dxa"/>
          </w:tcPr>
          <w:p>
            <w:pPr>
              <w:pStyle w:val="TableParagraph"/>
              <w:spacing w:line="213" w:lineRule="exact"/>
              <w:ind w:left="2" w:right="1"/>
              <w:rPr>
                <w:sz w:val="20"/>
              </w:rPr>
            </w:pPr>
            <w:r>
              <w:rPr>
                <w:spacing w:val="-2"/>
                <w:sz w:val="20"/>
              </w:rPr>
              <w:t>10.47%</w:t>
            </w:r>
          </w:p>
        </w:tc>
      </w:tr>
      <w:tr>
        <w:trPr>
          <w:trHeight w:val="256" w:hRule="atLeast"/>
        </w:trPr>
        <w:tc>
          <w:tcPr>
            <w:tcW w:w="3025" w:type="dxa"/>
          </w:tcPr>
          <w:p>
            <w:pPr>
              <w:pStyle w:val="TableParagraph"/>
              <w:spacing w:line="215" w:lineRule="exact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NORESTE</w:t>
            </w:r>
          </w:p>
        </w:tc>
        <w:tc>
          <w:tcPr>
            <w:tcW w:w="1160" w:type="dxa"/>
          </w:tcPr>
          <w:p>
            <w:pPr>
              <w:pStyle w:val="TableParagraph"/>
              <w:spacing w:line="215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1921" w:type="dxa"/>
          </w:tcPr>
          <w:p>
            <w:pPr>
              <w:pStyle w:val="TableParagraph"/>
              <w:spacing w:line="215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1676" w:type="dxa"/>
          </w:tcPr>
          <w:p>
            <w:pPr>
              <w:pStyle w:val="TableParagraph"/>
              <w:spacing w:line="215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1568" w:type="dxa"/>
          </w:tcPr>
          <w:p>
            <w:pPr>
              <w:pStyle w:val="TableParagraph"/>
              <w:spacing w:line="215" w:lineRule="exact"/>
              <w:ind w:left="2" w:right="1"/>
              <w:rPr>
                <w:sz w:val="20"/>
              </w:rPr>
            </w:pPr>
            <w:r>
              <w:rPr>
                <w:spacing w:val="-2"/>
                <w:sz w:val="20"/>
              </w:rPr>
              <w:t>38.10%</w:t>
            </w:r>
          </w:p>
        </w:tc>
      </w:tr>
      <w:tr>
        <w:trPr>
          <w:trHeight w:val="253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PUNTARENAS</w:t>
            </w:r>
          </w:p>
        </w:tc>
        <w:tc>
          <w:tcPr>
            <w:tcW w:w="1160" w:type="dxa"/>
          </w:tcPr>
          <w:p>
            <w:pPr>
              <w:pStyle w:val="TableParagraph"/>
              <w:spacing w:line="213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1921" w:type="dxa"/>
          </w:tcPr>
          <w:p>
            <w:pPr>
              <w:pStyle w:val="TableParagraph"/>
              <w:spacing w:line="213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1676" w:type="dxa"/>
          </w:tcPr>
          <w:p>
            <w:pPr>
              <w:pStyle w:val="TableParagraph"/>
              <w:spacing w:line="213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1568" w:type="dxa"/>
          </w:tcPr>
          <w:p>
            <w:pPr>
              <w:pStyle w:val="TableParagraph"/>
              <w:spacing w:line="213" w:lineRule="exact"/>
              <w:ind w:left="2" w:right="1"/>
              <w:rPr>
                <w:sz w:val="20"/>
              </w:rPr>
            </w:pPr>
            <w:r>
              <w:rPr>
                <w:spacing w:val="-2"/>
                <w:sz w:val="20"/>
              </w:rPr>
              <w:t>11.65%</w:t>
            </w:r>
          </w:p>
        </w:tc>
      </w:tr>
      <w:tr>
        <w:trPr>
          <w:trHeight w:val="253" w:hRule="atLeast"/>
        </w:trPr>
        <w:tc>
          <w:tcPr>
            <w:tcW w:w="3025" w:type="dxa"/>
          </w:tcPr>
          <w:p>
            <w:pPr>
              <w:pStyle w:val="TableParagraph"/>
              <w:spacing w:line="213" w:lineRule="exact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SUROESTE</w:t>
            </w:r>
          </w:p>
        </w:tc>
        <w:tc>
          <w:tcPr>
            <w:tcW w:w="1160" w:type="dxa"/>
          </w:tcPr>
          <w:p>
            <w:pPr>
              <w:pStyle w:val="TableParagraph"/>
              <w:spacing w:line="213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1921" w:type="dxa"/>
          </w:tcPr>
          <w:p>
            <w:pPr>
              <w:pStyle w:val="TableParagraph"/>
              <w:spacing w:line="213" w:lineRule="exact"/>
              <w:ind w:left="1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1676" w:type="dxa"/>
          </w:tcPr>
          <w:p>
            <w:pPr>
              <w:pStyle w:val="TableParagraph"/>
              <w:spacing w:line="213" w:lineRule="exact"/>
              <w:ind w:left="3" w:right="3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1568" w:type="dxa"/>
          </w:tcPr>
          <w:p>
            <w:pPr>
              <w:pStyle w:val="TableParagraph"/>
              <w:spacing w:line="213" w:lineRule="exact"/>
              <w:ind w:left="1" w:right="2"/>
              <w:rPr>
                <w:sz w:val="20"/>
              </w:rPr>
            </w:pPr>
            <w:r>
              <w:rPr>
                <w:spacing w:val="-2"/>
                <w:sz w:val="20"/>
              </w:rPr>
              <w:t>5.84%</w:t>
            </w:r>
          </w:p>
        </w:tc>
      </w:tr>
      <w:tr>
        <w:trPr>
          <w:trHeight w:val="256" w:hRule="atLeast"/>
        </w:trPr>
        <w:tc>
          <w:tcPr>
            <w:tcW w:w="3025" w:type="dxa"/>
            <w:shd w:val="clear" w:color="auto" w:fill="153C63"/>
          </w:tcPr>
          <w:p>
            <w:pPr>
              <w:pStyle w:val="TableParagraph"/>
              <w:spacing w:line="213" w:lineRule="exact" w:before="23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Total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(Sin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duplicados)</w:t>
            </w:r>
          </w:p>
        </w:tc>
        <w:tc>
          <w:tcPr>
            <w:tcW w:w="1160" w:type="dxa"/>
            <w:shd w:val="clear" w:color="auto" w:fill="153C63"/>
          </w:tcPr>
          <w:p>
            <w:pPr>
              <w:pStyle w:val="TableParagraph"/>
              <w:spacing w:line="213" w:lineRule="exact" w:before="23"/>
              <w:ind w:left="5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916</w:t>
            </w:r>
          </w:p>
        </w:tc>
        <w:tc>
          <w:tcPr>
            <w:tcW w:w="1921" w:type="dxa"/>
            <w:shd w:val="clear" w:color="auto" w:fill="153C63"/>
          </w:tcPr>
          <w:p>
            <w:pPr>
              <w:pStyle w:val="TableParagraph"/>
              <w:spacing w:line="213" w:lineRule="exact" w:before="23"/>
              <w:ind w:left="1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916</w:t>
            </w:r>
          </w:p>
        </w:tc>
        <w:tc>
          <w:tcPr>
            <w:tcW w:w="1676" w:type="dxa"/>
            <w:shd w:val="clear" w:color="auto" w:fill="153C63"/>
          </w:tcPr>
          <w:p>
            <w:pPr>
              <w:pStyle w:val="TableParagraph"/>
              <w:spacing w:line="213" w:lineRule="exact" w:before="23"/>
              <w:ind w:left="3" w:right="3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916</w:t>
            </w:r>
          </w:p>
        </w:tc>
        <w:tc>
          <w:tcPr>
            <w:tcW w:w="1568" w:type="dxa"/>
            <w:shd w:val="clear" w:color="auto" w:fill="153C63"/>
          </w:tcPr>
          <w:p>
            <w:pPr>
              <w:pStyle w:val="TableParagraph"/>
              <w:spacing w:line="213" w:lineRule="exact" w:before="23"/>
              <w:ind w:left="2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100%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7"/>
        <w:rPr>
          <w:b/>
        </w:rPr>
      </w:pPr>
    </w:p>
    <w:p>
      <w:pPr>
        <w:spacing w:line="280" w:lineRule="auto" w:before="0"/>
        <w:ind w:left="338" w:right="20" w:firstLine="0"/>
        <w:jc w:val="both"/>
        <w:rPr>
          <w:sz w:val="24"/>
        </w:rPr>
      </w:pPr>
      <w:r>
        <w:rPr>
          <w:sz w:val="24"/>
        </w:rPr>
        <w:t>Para finalizar, se destaca que, del total de </w:t>
      </w:r>
      <w:r>
        <w:rPr>
          <w:b/>
          <w:sz w:val="24"/>
        </w:rPr>
        <w:t>hogares que recibieron un subsidio o transferencia monetaria </w:t>
      </w:r>
      <w:r>
        <w:rPr>
          <w:sz w:val="24"/>
        </w:rPr>
        <w:t>institucional durante el primer semestre 2026 (252,523 hogares) el</w:t>
      </w:r>
      <w:r>
        <w:rPr>
          <w:spacing w:val="-1"/>
          <w:sz w:val="24"/>
        </w:rPr>
        <w:t> </w:t>
      </w:r>
      <w:r>
        <w:rPr>
          <w:b/>
          <w:sz w:val="24"/>
        </w:rPr>
        <w:t>98,56% </w:t>
      </w:r>
      <w:r>
        <w:rPr>
          <w:sz w:val="24"/>
        </w:rPr>
        <w:t>se otorgó a hogares que se ubican en </w:t>
      </w:r>
      <w:r>
        <w:rPr>
          <w:b/>
          <w:sz w:val="24"/>
        </w:rPr>
        <w:t>Línea de Pobreza Extrema, Básica </w:t>
      </w:r>
      <w:r>
        <w:rPr>
          <w:sz w:val="24"/>
        </w:rPr>
        <w:t>o </w:t>
      </w:r>
      <w:r>
        <w:rPr>
          <w:b/>
          <w:sz w:val="24"/>
        </w:rPr>
        <w:t>Pobreza Canasta </w:t>
      </w:r>
      <w:r>
        <w:rPr>
          <w:sz w:val="24"/>
        </w:rPr>
        <w:t>según SINIRUBE, o bien, se ubican en </w:t>
      </w:r>
      <w:r>
        <w:rPr>
          <w:b/>
          <w:sz w:val="24"/>
        </w:rPr>
        <w:t>Línea de Pobreza por Discapacidad (LPD)</w:t>
      </w:r>
      <w:r>
        <w:rPr>
          <w:sz w:val="24"/>
        </w:rPr>
        <w:t>. El restante porcentaje de la población beneficiaria que reportan una calificación diferente a extrema, básica o pobreza, se otorga de acuerdo con el criterio técnico profesional. Lo anterior, refleja los esfuerzos institucionales para dar cumplimiento al mandato estipulado en la </w:t>
      </w:r>
      <w:hyperlink r:id="rId21">
        <w:r>
          <w:rPr>
            <w:sz w:val="24"/>
          </w:rPr>
          <w:t>Ley 4760 de creación del IMAS para</w:t>
        </w:r>
      </w:hyperlink>
      <w:r>
        <w:rPr>
          <w:sz w:val="24"/>
        </w:rPr>
        <w:t> </w:t>
      </w:r>
      <w:hyperlink r:id="rId21">
        <w:r>
          <w:rPr>
            <w:sz w:val="24"/>
          </w:rPr>
          <w:t>combatir la situación de pobreza extrema y pobreza en el país.</w:t>
        </w:r>
      </w:hyperlink>
    </w:p>
    <w:p>
      <w:pPr>
        <w:spacing w:after="0" w:line="280" w:lineRule="auto"/>
        <w:jc w:val="both"/>
        <w:rPr>
          <w:sz w:val="24"/>
        </w:rPr>
        <w:sectPr>
          <w:pgSz w:w="12240" w:h="15840"/>
          <w:pgMar w:top="1820" w:bottom="280" w:left="1080" w:right="1440"/>
        </w:sectPr>
      </w:pPr>
    </w:p>
    <w:p>
      <w:pPr>
        <w:spacing w:line="391" w:lineRule="exact" w:before="73"/>
        <w:ind w:left="4582" w:right="0" w:firstLine="0"/>
        <w:jc w:val="left"/>
        <w:rPr>
          <w:rFonts w:ascii="Times New Roman"/>
          <w:sz w:val="38"/>
        </w:rPr>
      </w:pPr>
      <w:r>
        <w:rPr>
          <w:rFonts w:ascii="Times New Roman"/>
          <w:color w:val="00164F"/>
          <w:spacing w:val="-2"/>
          <w:w w:val="105"/>
          <w:sz w:val="38"/>
        </w:rPr>
        <w:t>INSTITUTO</w:t>
      </w:r>
    </w:p>
    <w:p>
      <w:pPr>
        <w:spacing w:line="210" w:lineRule="exact" w:before="0"/>
        <w:ind w:left="4572" w:right="0" w:firstLine="0"/>
        <w:jc w:val="left"/>
        <w:rPr>
          <w:sz w:val="26"/>
        </w:rPr>
      </w:pPr>
      <w:r>
        <w:rPr>
          <w:color w:val="00164F"/>
          <w:spacing w:val="-2"/>
          <w:w w:val="110"/>
          <w:sz w:val="26"/>
        </w:rPr>
        <w:t>MIX.10DEAYUDA</w:t>
      </w:r>
    </w:p>
    <w:p>
      <w:pPr>
        <w:tabs>
          <w:tab w:pos="1748" w:val="left" w:leader="none"/>
          <w:tab w:pos="4045" w:val="left" w:leader="none"/>
        </w:tabs>
        <w:spacing w:line="377" w:lineRule="exact" w:before="0"/>
        <w:ind w:left="505" w:right="0" w:firstLine="0"/>
        <w:jc w:val="center"/>
        <w:rPr>
          <w:rFonts w:ascii="Times New Roman"/>
          <w:sz w:val="26"/>
        </w:rPr>
      </w:pPr>
      <w:r>
        <w:rPr>
          <w:rFonts w:ascii="Times New Roman"/>
          <w:color w:val="00164F"/>
          <w:spacing w:val="-5"/>
          <w:position w:val="-9"/>
          <w:sz w:val="38"/>
        </w:rPr>
        <w:t>.,</w:t>
      </w:r>
      <w:r>
        <w:rPr>
          <w:rFonts w:ascii="Times New Roman"/>
          <w:color w:val="00164F"/>
          <w:position w:val="-9"/>
          <w:sz w:val="38"/>
        </w:rPr>
        <w:tab/>
      </w:r>
      <w:r>
        <w:rPr>
          <w:rFonts w:ascii="Times New Roman"/>
          <w:color w:val="00164F"/>
          <w:spacing w:val="-2"/>
          <w:sz w:val="26"/>
          <w:u w:val="thick" w:color="000000"/>
        </w:rPr>
        <w:t>SOCIAL</w:t>
      </w:r>
      <w:r>
        <w:rPr>
          <w:rFonts w:ascii="Times New Roman"/>
          <w:color w:val="00164F"/>
          <w:sz w:val="26"/>
          <w:u w:val="thick" w:color="000000"/>
        </w:rPr>
        <w:tab/>
      </w:r>
    </w:p>
    <w:p>
      <w:pPr>
        <w:spacing w:line="189" w:lineRule="exact" w:before="0"/>
        <w:ind w:left="4583" w:right="0" w:firstLine="0"/>
        <w:jc w:val="left"/>
        <w:rPr>
          <w:b/>
          <w:sz w:val="18"/>
        </w:rPr>
      </w:pPr>
      <w:r>
        <w:rPr>
          <w:b/>
          <w:color w:val="00164F"/>
          <w:spacing w:val="2"/>
          <w:sz w:val="18"/>
          <w:u w:val="thick" w:color="00164F"/>
        </w:rPr>
        <w:t>GOBJDNODB</w:t>
      </w:r>
      <w:r>
        <w:rPr>
          <w:b/>
          <w:color w:val="00164F"/>
          <w:spacing w:val="-9"/>
          <w:sz w:val="18"/>
          <w:u w:val="none"/>
        </w:rPr>
        <w:t> </w:t>
      </w:r>
      <w:r>
        <w:rPr>
          <w:b/>
          <w:color w:val="00164F"/>
          <w:spacing w:val="-2"/>
          <w:sz w:val="18"/>
          <w:u w:val="none"/>
        </w:rPr>
        <w:t>001'JlllllDA.</w:t>
      </w:r>
    </w:p>
    <w:sectPr>
      <w:pgSz w:w="12240" w:h="15840"/>
      <w:pgMar w:top="52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312"/>
      <w:jc w:val="center"/>
      <w:outlineLvl w:val="1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1"/>
      <w:ind w:left="69"/>
      <w:jc w:val="center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hyperlink" Target="https://www.imas.go.cr/sites/default/files/docs/Ley%20N%C2%B04760%20Ley%20de%20Creaci%C3%B3n%20del%20Instituto%20Mixto%20de%20Ayuda%20Social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acamachos</dc:creator>
  <dcterms:created xsi:type="dcterms:W3CDTF">2026-10-05T16:56:55Z</dcterms:created>
  <dcterms:modified xsi:type="dcterms:W3CDTF">2026-10-05T16:56:55Z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para Microsoft 365; modified using iText® Core 7.2.0 (AGPL version) ©2000-2021 iText Group NV; modified using iText® Core 7.2.0 (AGPL version) ©2000-2021 iText Group NV; modified using iText® Core 7.2.0 (AGPL version) ©2000-2021 iText Group NV</vt:lpwstr>
  </property>
</Properties>
</file>